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28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rightChars="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Times New Roman"/>
          <w:bCs/>
          <w:color w:val="auto"/>
          <w:sz w:val="32"/>
          <w:szCs w:val="32"/>
          <w:highlight w:val="none"/>
          <w:lang w:val="en-US" w:eastAsia="zh-CN"/>
        </w:rPr>
        <w:t>附件2：</w:t>
      </w:r>
    </w:p>
    <w:p w14:paraId="49BFE6B9">
      <w:pPr>
        <w:keepNext w:val="0"/>
        <w:keepLines w:val="0"/>
        <w:pageBreakBefore w:val="0"/>
        <w:widowControl w:val="0"/>
        <w:kinsoku/>
        <w:overflowPunct/>
        <w:topLinePunct w:val="0"/>
        <w:autoSpaceDE/>
        <w:autoSpaceDN/>
        <w:bidi w:val="0"/>
        <w:jc w:val="center"/>
        <w:textAlignment w:val="auto"/>
        <w:outlineLvl w:val="9"/>
        <w:rPr>
          <w:rFonts w:hint="eastAsia" w:ascii="方正小标宋简体" w:hAnsi="方正小标宋简体" w:eastAsia="方正小标宋简体" w:cs="方正小标宋简体"/>
          <w:b/>
          <w:bCs/>
          <w:color w:val="auto"/>
          <w:sz w:val="36"/>
          <w:szCs w:val="36"/>
          <w:highlight w:val="none"/>
          <w:lang w:val="en-US"/>
        </w:rPr>
      </w:pPr>
      <w:r>
        <w:rPr>
          <w:rFonts w:hint="eastAsia" w:ascii="方正小标宋简体" w:hAnsi="方正小标宋简体" w:eastAsia="方正小标宋简体" w:cs="方正小标宋简体"/>
          <w:b/>
          <w:bCs/>
          <w:color w:val="auto"/>
          <w:sz w:val="36"/>
          <w:szCs w:val="36"/>
          <w:highlight w:val="none"/>
          <w:lang w:val="en-US"/>
        </w:rPr>
        <w:t>报 价 书</w:t>
      </w:r>
    </w:p>
    <w:p w14:paraId="13BB1F54">
      <w:pPr>
        <w:keepNext w:val="0"/>
        <w:keepLines w:val="0"/>
        <w:pageBreakBefore w:val="0"/>
        <w:widowControl w:val="0"/>
        <w:kinsoku/>
        <w:overflowPunct/>
        <w:topLinePunct w:val="0"/>
        <w:autoSpaceDE/>
        <w:autoSpaceDN/>
        <w:bidi w:val="0"/>
        <w:textAlignment w:val="auto"/>
        <w:outlineLvl w:val="9"/>
        <w:rPr>
          <w:rFonts w:hint="eastAsia" w:ascii="仿宋_GB2312" w:hAnsi="仿宋_GB2312" w:eastAsia="仿宋_GB2312" w:cs="仿宋_GB2312"/>
          <w:b w:val="0"/>
          <w:bCs w:val="0"/>
          <w:color w:val="auto"/>
          <w:sz w:val="28"/>
          <w:szCs w:val="28"/>
          <w:highlight w:val="none"/>
          <w:lang w:val="en-US"/>
        </w:rPr>
      </w:pPr>
      <w:r>
        <w:rPr>
          <w:rFonts w:hint="eastAsia" w:ascii="仿宋_GB2312" w:hAnsi="仿宋_GB2312" w:eastAsia="仿宋_GB2312" w:cs="仿宋_GB2312"/>
          <w:b w:val="0"/>
          <w:bCs w:val="0"/>
          <w:color w:val="auto"/>
          <w:sz w:val="28"/>
          <w:szCs w:val="28"/>
          <w:highlight w:val="none"/>
          <w:lang w:val="en-US"/>
        </w:rPr>
        <w:t>致：广州市花都区农业农村局</w:t>
      </w:r>
    </w:p>
    <w:p w14:paraId="775B07CE">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仿宋_GB2312" w:eastAsia="黑体" w:cs="仿宋_GB2312"/>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一、</w:t>
      </w:r>
      <w:r>
        <w:rPr>
          <w:rFonts w:hint="eastAsia" w:ascii="黑体" w:hAnsi="黑体" w:eastAsia="黑体" w:cs="黑体"/>
          <w:b w:val="0"/>
          <w:bCs w:val="0"/>
          <w:color w:val="auto"/>
          <w:sz w:val="28"/>
          <w:szCs w:val="28"/>
          <w:highlight w:val="none"/>
          <w:lang w:val="en-US"/>
        </w:rPr>
        <w:t>项目名称：</w:t>
      </w:r>
      <w:r>
        <w:rPr>
          <w:rFonts w:hint="eastAsia" w:ascii="仿宋_GB2312" w:hAnsi="宋体" w:eastAsia="仿宋_GB2312" w:cs="宋体"/>
          <w:color w:val="auto"/>
          <w:kern w:val="0"/>
          <w:sz w:val="28"/>
          <w:szCs w:val="28"/>
          <w:highlight w:val="none"/>
          <w:lang w:val="en-US" w:eastAsia="zh-CN" w:bidi="ar"/>
        </w:rPr>
        <w:t>广州市花都区2025年度受污染耕地安全利用工作服务项目。</w:t>
      </w:r>
    </w:p>
    <w:p w14:paraId="3446E122">
      <w:pPr>
        <w:keepNext w:val="0"/>
        <w:keepLines w:val="0"/>
        <w:pageBreakBefore w:val="0"/>
        <w:widowControl w:val="0"/>
        <w:kinsoku/>
        <w:overflowPunct/>
        <w:topLinePunct w:val="0"/>
        <w:autoSpaceDE/>
        <w:autoSpaceDN/>
        <w:bidi w:val="0"/>
        <w:ind w:firstLine="560" w:firstLineChars="200"/>
        <w:textAlignment w:val="auto"/>
        <w:outlineLvl w:val="9"/>
        <w:rPr>
          <w:rFonts w:hint="eastAsia" w:ascii="黑体" w:hAnsi="黑体" w:eastAsia="黑体" w:cs="黑体"/>
          <w:b w:val="0"/>
          <w:bCs w:val="0"/>
          <w:color w:val="auto"/>
          <w:sz w:val="28"/>
          <w:szCs w:val="28"/>
          <w:highlight w:val="none"/>
          <w:lang w:val="en-US"/>
        </w:rPr>
      </w:pPr>
      <w:r>
        <w:rPr>
          <w:rFonts w:hint="eastAsia" w:ascii="黑体" w:hAnsi="黑体" w:eastAsia="黑体" w:cs="黑体"/>
          <w:b w:val="0"/>
          <w:bCs w:val="0"/>
          <w:color w:val="auto"/>
          <w:sz w:val="28"/>
          <w:szCs w:val="28"/>
          <w:highlight w:val="none"/>
          <w:lang w:val="en-US" w:eastAsia="zh-CN"/>
        </w:rPr>
        <w:t>二、</w:t>
      </w:r>
      <w:r>
        <w:rPr>
          <w:rFonts w:hint="eastAsia" w:ascii="黑体" w:hAnsi="黑体" w:eastAsia="黑体" w:cs="黑体"/>
          <w:b w:val="0"/>
          <w:bCs w:val="0"/>
          <w:color w:val="auto"/>
          <w:sz w:val="28"/>
          <w:szCs w:val="28"/>
          <w:highlight w:val="none"/>
          <w:lang w:val="en-US"/>
        </w:rPr>
        <w:t>工作内容及要求：</w:t>
      </w:r>
    </w:p>
    <w:p w14:paraId="37C269D7">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落实国务院《土壤污染防治行动计划》，巩固我省“十三五”土壤污染防治攻坚成果，根据生态环境部农业农村部《关于分解落实2022-2025年度受污染耕地安全利用任务的函》（环土壤函〔2022〕13号）部署要求，结合广东省深入打好污染防治攻坚战重点任务，以广州市农业农村局 广州市生态环境局关于印发《广州市2025年度受污染耕地安全利用工作方案》下发的花都区内耕地土壤环境质量分类成果数据为依据，将安全利用类耕地（7426.91亩）和严格管控类耕地（216.72亩）面积之和作为受污染耕地安全利用重点任务（合计7643.63亩），以确保农产品质量安全为目标，全面开展受污染耕地安全利用工作服务项目，确保完成省市要求的安全利用和风险管控措施到位率100%，受污染耕地安全利用率稳定在93%（上级有最新要求的，按照最新文件要求实施）。</w:t>
      </w:r>
    </w:p>
    <w:p w14:paraId="3E944537">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一）协助开展耕地土壤环境质量类别动态调整。为提升受污染耕地安全利用工作水平，广东省农业农村厅在省耕地土壤环境质量类别划分的基础上，充分利用国土“三调”土地利用现状和各地市耕地土壤-农产品协同监测数据，开展耕地土壤环境质量类别动态调整。调整后的图斑出现不确定的边界，为使调整后的数据能科学反映客观实际，协助花都区农业农村局对不确定的边界图斑开展现场核实，核实调整后的成果将作为以后花都区受污染耕地安全利用的依据。</w:t>
      </w:r>
    </w:p>
    <w:p w14:paraId="20C92F62">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二）开展受污染耕地种植现状排查。按照《广东省受污染耕地安全利用总体方案》的方法要求,按照"先排查、后治理"的工作方式,对受污染耕地任务范围开展种植区域现状排查,摸清受污染耕地实际种植情况,形成排查台账,为下一步开展受污染耕地安全利用和严格管控工作提供数据基础。</w:t>
      </w:r>
    </w:p>
    <w:p w14:paraId="4EB39DA2">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三）开展农产品与产地环境协同监测评价。以安全利用类耕地的晚稻、蔬菜和严格管控类耕地可食用农作物的种植区为重点监测对象,通过开展特定布点密度、范围和对象的监测，评估受污染耕地安全利用效果，测算年度区域受污染耕地安全利用率。结合以往监测结果,协助花都区农业农村局梳理受污染耕地农产品超标的品种、季节和分布规律,协助建立完善安全利用技术库（名录）和农作物种植推荐清单，为制定有关技术指引提供依据。此外，做好监测数据整理,对符合质量类别调整标准的地块,协助花都区农业农村局按要求报送省农业农村厅,为花都区耕地土壤环境质量类别划分动态调整提供依据。</w:t>
      </w:r>
    </w:p>
    <w:p w14:paraId="7DF158EC">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四）优化受污染耕地安全利用水平。协助花都区农业农村局认真梳理历年农产品监测数据，总结优化技术方案，注重集中资源、节约成本、强化分类施策，防止出现二次污染和减产等情况，着力稳定水稻和蔬菜达标率。</w:t>
      </w:r>
    </w:p>
    <w:p w14:paraId="05AC06E4">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五）全面落实风险管控措施。针对严格管控类耕地,按照《关于认真做好严格管控类耕地污染防治和风险管控工作的通知》(粤农农函〔2021〕234号)要求,协助花都区农业农村局引导农户实施种植结构调整，因地制宜采取有效措施推进种植结构向重金属低累积农作物或非食用农产品调整，以及其他长期有效的管控措施，确保耕地风险得到全面管控。</w:t>
      </w:r>
    </w:p>
    <w:p w14:paraId="29BE834E">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（六）整理超标粮食地块信息。整理汇总历史调查数据、治理经验和临田检测结果,将粮食超标风险较高、分布集中且面积较大的受污染耕地区域相关信息提交给花都区农业农村局，以便其关注超标粮食去向。</w:t>
      </w:r>
    </w:p>
    <w:p w14:paraId="49798367">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七）协助完成耕地污染源头防控工作。协助花都区农业农村局对化肥、农药、农膜等农业投入品使用管理的资料整理和编制工作总结报告,将化肥农药减量增效行动、测土配方施肥和有机肥替代化肥行动、实施粤港澳大湾区"菜篮子"生产基地使用生物农药等绿色防控产品奖励政策、农业投入品包装废弃物回收及无害化处理等相关耕地污染源头防控工作的台账资料整理归档。</w:t>
      </w:r>
    </w:p>
    <w:p w14:paraId="33FF460E">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八）建立工作调度台账。登记受污染耕地种植区域现状排查情况、受污染耕地采取安全利用措施情况、达标水稻和蔬菜区域的面积等情况，开展受污染耕地安全利用率核算，填写受污染耕地安全利用工作完成情况表，并编制工作总结报告，参考最新下发《受污染耕地安全利用工作台账内容清单》，收集整理相关台账资料并扫描归档。</w:t>
      </w:r>
    </w:p>
    <w:p w14:paraId="1E3E525E">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（九）成果提交</w:t>
      </w:r>
    </w:p>
    <w:p w14:paraId="3425035C">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提交的成果资料包括：</w:t>
      </w:r>
    </w:p>
    <w:p w14:paraId="0A616FE7">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1、花都区耕地土壤环境质量类别动态调整基础数据边界核实成果；</w:t>
      </w:r>
    </w:p>
    <w:p w14:paraId="30EC7224">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2、受污染耕地种植状况或利用现状的照片（同时包含坐标或显示坐标的GPS仪）；</w:t>
      </w:r>
    </w:p>
    <w:p w14:paraId="03A4814C">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3、受污染耕地现场排查登记表；</w:t>
      </w:r>
    </w:p>
    <w:p w14:paraId="2A5658BE">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4、相关农产品及土壤检测报告；</w:t>
      </w:r>
    </w:p>
    <w:p w14:paraId="27A69072">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5、花都区受污染耕地安全利用工作总结报告。</w:t>
      </w:r>
    </w:p>
    <w:p w14:paraId="6D8765C1">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宋体" w:eastAsia="仿宋_GB2312" w:cs="宋体"/>
          <w:b w:val="0"/>
          <w:bCs w:val="0"/>
          <w:color w:val="auto"/>
          <w:kern w:val="0"/>
          <w:sz w:val="28"/>
          <w:szCs w:val="28"/>
          <w:highlight w:val="none"/>
          <w:lang w:val="en-US" w:eastAsia="zh-CN" w:bidi="ar"/>
        </w:rPr>
      </w:pPr>
      <w:r>
        <w:rPr>
          <w:rFonts w:hint="eastAsia" w:ascii="仿宋_GB2312" w:hAnsi="宋体" w:eastAsia="仿宋_GB2312" w:cs="宋体"/>
          <w:b w:val="0"/>
          <w:bCs w:val="0"/>
          <w:color w:val="auto"/>
          <w:kern w:val="0"/>
          <w:sz w:val="28"/>
          <w:szCs w:val="28"/>
          <w:highlight w:val="none"/>
          <w:lang w:val="en-US" w:eastAsia="zh-CN" w:bidi="ar"/>
        </w:rPr>
        <w:t>上级有最新要求的，按照最新文件要求实施。</w:t>
      </w:r>
    </w:p>
    <w:p w14:paraId="1F5551EB">
      <w:pPr>
        <w:keepNext w:val="0"/>
        <w:keepLines w:val="0"/>
        <w:pageBreakBefore w:val="0"/>
        <w:widowControl w:val="0"/>
        <w:kinsoku/>
        <w:overflowPunct/>
        <w:topLinePunct w:val="0"/>
        <w:autoSpaceDE/>
        <w:autoSpaceDN/>
        <w:bidi w:val="0"/>
        <w:ind w:firstLine="560" w:firstLineChars="200"/>
        <w:textAlignment w:val="auto"/>
        <w:outlineLvl w:val="9"/>
        <w:rPr>
          <w:rFonts w:hint="eastAsia" w:ascii="黑体" w:hAnsi="黑体" w:eastAsia="黑体" w:cs="黑体"/>
          <w:b w:val="0"/>
          <w:bCs w:val="0"/>
          <w:sz w:val="28"/>
          <w:szCs w:val="28"/>
          <w:lang w:val="en-US"/>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lang w:val="en-US"/>
        </w:rPr>
        <w:t>、报价单位在此声明并同意：</w:t>
      </w:r>
    </w:p>
    <w:p w14:paraId="7F3767D4">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lang w:val="en-US"/>
        </w:rPr>
        <w:t>我司愿意遵守询价单位的各项规定，提供符合“工作内容及要求”所要求的成果。</w:t>
      </w:r>
    </w:p>
    <w:p w14:paraId="6DACF77B">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val="en-US"/>
        </w:rPr>
        <w:t>我司同意本报价自报价日起60天内保持有效。如中标，则有效期延至合同执行期满时止。</w:t>
      </w:r>
    </w:p>
    <w:p w14:paraId="03F14AD1">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lang w:val="en-US"/>
        </w:rPr>
        <w:t>我司完全理解询价单位并无义务必须接受最低报价的询价或其它任何询价。</w:t>
      </w:r>
    </w:p>
    <w:p w14:paraId="45C648FA">
      <w:pPr>
        <w:keepNext w:val="0"/>
        <w:keepLines w:val="0"/>
        <w:pageBreakBefore w:val="0"/>
        <w:widowControl w:val="0"/>
        <w:kinsoku/>
        <w:overflowPunct/>
        <w:topLinePunct w:val="0"/>
        <w:autoSpaceDE/>
        <w:autoSpaceDN/>
        <w:bidi w:val="0"/>
        <w:ind w:firstLine="560" w:firstLineChars="200"/>
        <w:textAlignment w:val="auto"/>
        <w:outlineLvl w:val="9"/>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（四）</w:t>
      </w:r>
      <w:r>
        <w:rPr>
          <w:rFonts w:hint="eastAsia" w:ascii="仿宋_GB2312" w:hAnsi="仿宋_GB2312" w:eastAsia="仿宋_GB2312" w:cs="仿宋_GB2312"/>
          <w:b w:val="0"/>
          <w:bCs w:val="0"/>
          <w:sz w:val="28"/>
          <w:szCs w:val="28"/>
          <w:lang w:val="en-US"/>
        </w:rPr>
        <w:t>我司如果中标，保证履行承诺的全部责任和义务。</w:t>
      </w:r>
    </w:p>
    <w:p w14:paraId="7D0E2D3F">
      <w:pPr>
        <w:keepNext w:val="0"/>
        <w:keepLines w:val="0"/>
        <w:pageBreakBefore w:val="0"/>
        <w:widowControl w:val="0"/>
        <w:kinsoku/>
        <w:overflowPunct/>
        <w:topLinePunct w:val="0"/>
        <w:autoSpaceDE/>
        <w:autoSpaceDN/>
        <w:bidi w:val="0"/>
        <w:ind w:firstLine="560" w:firstLineChars="200"/>
        <w:textAlignment w:val="auto"/>
        <w:outlineLvl w:val="9"/>
        <w:rPr>
          <w:rFonts w:hint="eastAsia"/>
          <w:lang w:val="en-US"/>
        </w:rPr>
      </w:pP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lang w:val="en-US"/>
        </w:rPr>
        <w:t>根据项目询价函、项目情况及贵单位要求，我司考虑需投入的人力与时间等因素，具体报价如下：</w:t>
      </w:r>
    </w:p>
    <w:p w14:paraId="2FA1F1E5">
      <w:pPr>
        <w:keepNext w:val="0"/>
        <w:keepLines w:val="0"/>
        <w:pageBreakBefore w:val="0"/>
        <w:widowControl w:val="0"/>
        <w:kinsoku/>
        <w:overflowPunct/>
        <w:topLinePunct w:val="0"/>
        <w:autoSpaceDE/>
        <w:autoSpaceDN/>
        <w:bidi w:val="0"/>
        <w:ind w:firstLine="4480" w:firstLineChars="1600"/>
        <w:textAlignment w:val="auto"/>
        <w:outlineLvl w:val="9"/>
        <w:rPr>
          <w:rFonts w:hint="default" w:ascii="仿宋_GB2312" w:hAnsi="仿宋_GB2312" w:eastAsia="仿宋_GB2312" w:cs="仿宋_GB2312"/>
          <w:b w:val="0"/>
          <w:bCs w:val="0"/>
          <w:sz w:val="28"/>
          <w:szCs w:val="28"/>
          <w:lang w:val="en-US" w:eastAsia="zh-CN"/>
        </w:rPr>
      </w:pPr>
    </w:p>
    <w:tbl>
      <w:tblPr>
        <w:tblStyle w:val="5"/>
        <w:tblpPr w:leftFromText="180" w:rightFromText="180" w:vertAnchor="text" w:horzAnchor="page" w:tblpX="1787" w:tblpY="-24"/>
        <w:tblOverlap w:val="never"/>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6710"/>
      </w:tblGrid>
      <w:tr w14:paraId="53A9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71" w:type="dxa"/>
            <w:noWrap w:val="0"/>
            <w:vAlign w:val="center"/>
          </w:tcPr>
          <w:p w14:paraId="720DC85D">
            <w:pPr>
              <w:keepNext w:val="0"/>
              <w:keepLines w:val="0"/>
              <w:pageBreakBefore w:val="0"/>
              <w:widowControl w:val="0"/>
              <w:kinsoku/>
              <w:overflowPunct/>
              <w:topLinePunct w:val="0"/>
              <w:autoSpaceDE/>
              <w:autoSpaceDN/>
              <w:bidi w:val="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项目名称</w:t>
            </w:r>
          </w:p>
        </w:tc>
        <w:tc>
          <w:tcPr>
            <w:tcW w:w="6710" w:type="dxa"/>
            <w:noWrap w:val="0"/>
            <w:vAlign w:val="center"/>
          </w:tcPr>
          <w:p w14:paraId="75B8C13B">
            <w:pPr>
              <w:keepNext w:val="0"/>
              <w:keepLines w:val="0"/>
              <w:pageBreakBefore w:val="0"/>
              <w:widowControl w:val="0"/>
              <w:kinsoku/>
              <w:overflowPunct/>
              <w:topLinePunct w:val="0"/>
              <w:autoSpaceDE/>
              <w:autoSpaceDN/>
              <w:bidi w:val="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广州市花都区2025年度受污染耕地安全利用工作</w:t>
            </w:r>
          </w:p>
          <w:p w14:paraId="30879D6E">
            <w:pPr>
              <w:keepNext w:val="0"/>
              <w:keepLines w:val="0"/>
              <w:pageBreakBefore w:val="0"/>
              <w:widowControl w:val="0"/>
              <w:kinsoku/>
              <w:overflowPunct/>
              <w:topLinePunct w:val="0"/>
              <w:autoSpaceDE/>
              <w:autoSpaceDN/>
              <w:bidi w:val="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服务项目</w:t>
            </w:r>
          </w:p>
        </w:tc>
      </w:tr>
      <w:tr w14:paraId="166C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71" w:type="dxa"/>
            <w:noWrap w:val="0"/>
            <w:vAlign w:val="center"/>
          </w:tcPr>
          <w:p w14:paraId="1323E559">
            <w:pPr>
              <w:keepNext w:val="0"/>
              <w:keepLines w:val="0"/>
              <w:pageBreakBefore w:val="0"/>
              <w:widowControl w:val="0"/>
              <w:kinsoku/>
              <w:overflowPunct/>
              <w:topLinePunct w:val="0"/>
              <w:autoSpaceDE/>
              <w:autoSpaceDN/>
              <w:bidi w:val="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报价</w:t>
            </w:r>
          </w:p>
        </w:tc>
        <w:tc>
          <w:tcPr>
            <w:tcW w:w="6710" w:type="dxa"/>
            <w:noWrap w:val="0"/>
            <w:vAlign w:val="center"/>
          </w:tcPr>
          <w:p w14:paraId="0CD928D4">
            <w:pPr>
              <w:keepNext w:val="0"/>
              <w:keepLines w:val="0"/>
              <w:pageBreakBefore w:val="0"/>
              <w:widowControl w:val="0"/>
              <w:kinsoku/>
              <w:overflowPunct/>
              <w:topLinePunct w:val="0"/>
              <w:autoSpaceDE/>
              <w:autoSpaceDN/>
              <w:bidi w:val="0"/>
              <w:jc w:val="center"/>
              <w:textAlignment w:val="auto"/>
              <w:outlineLvl w:val="9"/>
              <w:rPr>
                <w:rFonts w:hint="eastAsia"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lang w:val="en-US"/>
              </w:rPr>
              <w:t>元</w:t>
            </w:r>
          </w:p>
        </w:tc>
      </w:tr>
    </w:tbl>
    <w:p w14:paraId="44A685B0">
      <w:pPr>
        <w:keepNext w:val="0"/>
        <w:keepLines w:val="0"/>
        <w:pageBreakBefore w:val="0"/>
        <w:widowControl w:val="0"/>
        <w:kinsoku/>
        <w:overflowPunct/>
        <w:topLinePunct w:val="0"/>
        <w:autoSpaceDE/>
        <w:autoSpaceDN/>
        <w:bidi w:val="0"/>
        <w:ind w:firstLine="4480" w:firstLineChars="1600"/>
        <w:textAlignment w:val="auto"/>
        <w:outlineLvl w:val="9"/>
        <w:rPr>
          <w:rFonts w:hint="default" w:ascii="仿宋_GB2312" w:hAnsi="仿宋_GB2312" w:eastAsia="仿宋_GB2312" w:cs="仿宋_GB2312"/>
          <w:b w:val="0"/>
          <w:bCs w:val="0"/>
          <w:color w:val="auto"/>
          <w:sz w:val="28"/>
          <w:szCs w:val="28"/>
          <w:lang w:val="en-US" w:eastAsia="zh-CN"/>
        </w:rPr>
      </w:pPr>
    </w:p>
    <w:p w14:paraId="592C8974">
      <w:pPr>
        <w:keepNext w:val="0"/>
        <w:keepLines w:val="0"/>
        <w:pageBreakBefore w:val="0"/>
        <w:widowControl w:val="0"/>
        <w:kinsoku/>
        <w:overflowPunct/>
        <w:topLinePunct w:val="0"/>
        <w:autoSpaceDE/>
        <w:autoSpaceDN/>
        <w:bidi w:val="0"/>
        <w:ind w:firstLine="4480" w:firstLineChars="1600"/>
        <w:textAlignment w:val="auto"/>
        <w:outlineLvl w:val="9"/>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报价单位名称（盖章）：</w:t>
      </w:r>
    </w:p>
    <w:p w14:paraId="3609D340">
      <w:pPr>
        <w:keepNext w:val="0"/>
        <w:keepLines w:val="0"/>
        <w:pageBreakBefore w:val="0"/>
        <w:widowControl w:val="0"/>
        <w:kinsoku/>
        <w:overflowPunct/>
        <w:topLinePunct w:val="0"/>
        <w:autoSpaceDE/>
        <w:autoSpaceDN/>
        <w:bidi w:val="0"/>
        <w:ind w:firstLine="6160" w:firstLineChars="2200"/>
        <w:textAlignment w:val="auto"/>
        <w:outlineLvl w:val="9"/>
        <w:rPr>
          <w:rFonts w:hint="default" w:ascii="仿宋_GB2312" w:hAnsi="仿宋_GB2312" w:eastAsia="仿宋_GB2312" w:cs="仿宋_GB2312"/>
          <w:b w:val="0"/>
          <w:bCs w:val="0"/>
          <w:color w:val="auto"/>
          <w:sz w:val="28"/>
          <w:szCs w:val="28"/>
          <w:lang w:val="en-US" w:eastAsia="zh-CN"/>
        </w:rPr>
      </w:pPr>
      <w:r>
        <w:rPr>
          <w:rFonts w:hint="default" w:ascii="仿宋_GB2312" w:hAnsi="仿宋_GB2312" w:eastAsia="仿宋_GB2312" w:cs="仿宋_GB2312"/>
          <w:b w:val="0"/>
          <w:bCs w:val="0"/>
          <w:color w:val="auto"/>
          <w:sz w:val="28"/>
          <w:szCs w:val="28"/>
          <w:lang w:val="en-US" w:eastAsia="zh-CN"/>
        </w:rPr>
        <w:t>日   期：</w:t>
      </w:r>
    </w:p>
    <w:p w14:paraId="234178E2">
      <w:bookmarkStart w:id="0" w:name="_GoBack"/>
      <w:bookmarkEnd w:id="0"/>
    </w:p>
    <w:sectPr>
      <w:footerReference r:id="rId3" w:type="default"/>
      <w:pgSz w:w="11906" w:h="16838"/>
      <w:pgMar w:top="1134" w:right="1440" w:bottom="1134"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F4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B897A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32B897A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F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2025-06-10T06:38:40Z</dcterms:created>
  <dc:creator>lenovo</dc:creator>
  <cp:lastModifiedBy>罗丽霞</cp:lastModifiedBy>
  <dcterms:modified xsi:type="dcterms:W3CDTF">2025-06-10T06:38:48Z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eyJoZGlkIjoiOTUwNmRhN2YxMTdiNzBiMWFhOTdjYzFmNmJiOTQzNzUiLCJ1c2VySWQiOiIxNjU3OTM2NDA3In0=</vt:lpwstr>
  </property>
  <property fmtid="{D5CDD505-2E9C-101B-9397-08002B2CF9AE}" pid="4" name="ICV">
    <vt:lpwstr>E1A767C4BA494A12BF88D2791BDF3DC6_12</vt:lpwstr>
  </property>
</Properties>
</file>