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CF54E">
      <w:pPr>
        <w:keepNext w:val="0"/>
        <w:keepLines w:val="0"/>
        <w:pageBreakBefore w:val="0"/>
        <w:widowControl/>
        <w:kinsoku/>
        <w:wordWrap/>
        <w:overflowPunct/>
        <w:topLinePunct w:val="0"/>
        <w:bidi w:val="0"/>
        <w:snapToGrid/>
        <w:spacing w:line="560" w:lineRule="exact"/>
        <w:jc w:val="center"/>
        <w:textAlignment w:val="auto"/>
        <w:outlineLvl w:val="0"/>
        <w:rPr>
          <w:rFonts w:hint="eastAsia" w:ascii="方正小标宋简体" w:hAnsi="Times New Roman" w:eastAsia="方正小标宋简体" w:cs="Times New Roman"/>
          <w:bCs/>
          <w:kern w:val="0"/>
          <w:sz w:val="44"/>
          <w:szCs w:val="44"/>
          <w:lang w:val="en-US" w:eastAsia="zh-CN"/>
        </w:rPr>
      </w:pPr>
      <w:bookmarkStart w:id="0" w:name="_Toc22442"/>
      <w:bookmarkStart w:id="1" w:name="_Toc18966"/>
      <w:r>
        <w:rPr>
          <w:rFonts w:hint="default" w:ascii="方正小标宋简体" w:hAnsi="Times New Roman" w:eastAsia="方正小标宋简体" w:cs="Times New Roman"/>
          <w:bCs/>
          <w:kern w:val="0"/>
          <w:sz w:val="44"/>
          <w:szCs w:val="44"/>
          <w:lang w:val="en-US"/>
        </w:rPr>
        <mc:AlternateContent>
          <mc:Choice Requires="wps">
            <w:drawing>
              <wp:anchor distT="0" distB="0" distL="114300" distR="114300" simplePos="0" relativeHeight="251660288" behindDoc="0" locked="0" layoutInCell="1" allowOverlap="1">
                <wp:simplePos x="0" y="0"/>
                <wp:positionH relativeFrom="column">
                  <wp:posOffset>10160</wp:posOffset>
                </wp:positionH>
                <wp:positionV relativeFrom="paragraph">
                  <wp:posOffset>-669290</wp:posOffset>
                </wp:positionV>
                <wp:extent cx="952500" cy="434340"/>
                <wp:effectExtent l="0" t="0" r="0" b="3810"/>
                <wp:wrapNone/>
                <wp:docPr id="11" name="文本框 11"/>
                <wp:cNvGraphicFramePr/>
                <a:graphic xmlns:a="http://schemas.openxmlformats.org/drawingml/2006/main">
                  <a:graphicData uri="http://schemas.microsoft.com/office/word/2010/wordprocessingShape">
                    <wps:wsp>
                      <wps:cNvSpPr txBox="1"/>
                      <wps:spPr>
                        <a:xfrm>
                          <a:off x="1017905" y="726440"/>
                          <a:ext cx="952500" cy="434340"/>
                        </a:xfrm>
                        <a:prstGeom prst="rect">
                          <a:avLst/>
                        </a:prstGeom>
                        <a:solidFill>
                          <a:srgbClr val="FFFFFF"/>
                        </a:solidFill>
                        <a:ln w="6350">
                          <a:noFill/>
                        </a:ln>
                        <a:effectLst/>
                      </wps:spPr>
                      <wps:txbx>
                        <w:txbxContent>
                          <w:p w14:paraId="69280736">
                            <w:pPr>
                              <w:rPr>
                                <w:rFonts w:hint="eastAsia" w:ascii="黑体" w:hAnsi="黑体" w:eastAsia="黑体" w:cs="黑体"/>
                                <w:sz w:val="32"/>
                                <w:szCs w:val="32"/>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8pt;margin-top:-52.7pt;height:34.2pt;width:75pt;z-index:251660288;mso-width-relative:page;mso-height-relative:page;" fillcolor="#FFFFFF" filled="t" stroked="f" coordsize="21600,21600" o:gfxdata="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mFQG&#10;KdMAAAAKAQAADwAAAAAAAAABACAAAAAiAAAAZHJzL2Rvd25yZXYueG1sUEsBAhQAFAAAAAgAh07i&#10;QBikyUBgAgAAqQQAAA4AAAAAAAAAAQAgAAAAIgEAAGRycy9lMm9Eb2MueG1sUEsFBgAAAAAGAAYA&#10;WQEAAPQFAAAAAA==&#10;">
                <v:fill on="t" focussize="0,0"/>
                <v:stroke on="f" weight="0.5pt"/>
                <v:imagedata o:title=""/>
                <o:lock v:ext="edit" aspectratio="f"/>
                <v:textbox>
                  <w:txbxContent>
                    <w:p w14:paraId="69280736">
                      <w:pPr>
                        <w:rPr>
                          <w:rFonts w:hint="eastAsia" w:ascii="黑体" w:hAnsi="黑体" w:eastAsia="黑体" w:cs="黑体"/>
                          <w:sz w:val="32"/>
                          <w:szCs w:val="32"/>
                          <w:lang w:val="en-US" w:eastAsia="zh-CN"/>
                        </w:rPr>
                      </w:pPr>
                    </w:p>
                  </w:txbxContent>
                </v:textbox>
              </v:shape>
            </w:pict>
          </mc:Fallback>
        </mc:AlternateContent>
      </w:r>
      <w:r>
        <w:rPr>
          <w:rFonts w:hint="eastAsia" w:ascii="方正小标宋简体" w:hAnsi="Times New Roman" w:eastAsia="方正小标宋简体" w:cs="Times New Roman"/>
          <w:bCs/>
          <w:kern w:val="0"/>
          <w:sz w:val="44"/>
          <w:szCs w:val="44"/>
          <w:lang w:val="en-US" w:eastAsia="zh-CN"/>
        </w:rPr>
        <w:t>中共广州市花都区花山镇委员会</w:t>
      </w:r>
    </w:p>
    <w:p w14:paraId="4E59A050">
      <w:pPr>
        <w:keepNext w:val="0"/>
        <w:keepLines w:val="0"/>
        <w:pageBreakBefore w:val="0"/>
        <w:widowControl/>
        <w:kinsoku/>
        <w:wordWrap/>
        <w:overflowPunct/>
        <w:topLinePunct w:val="0"/>
        <w:bidi w:val="0"/>
        <w:snapToGrid/>
        <w:spacing w:line="560" w:lineRule="exact"/>
        <w:jc w:val="center"/>
        <w:textAlignment w:val="auto"/>
        <w:outlineLvl w:val="0"/>
        <w:rPr>
          <w:rFonts w:ascii="方正小标宋简体" w:hAnsi="Times New Roman" w:eastAsia="方正小标宋简体" w:cs="Times New Roman"/>
          <w:bCs/>
          <w:kern w:val="0"/>
          <w:sz w:val="44"/>
          <w:szCs w:val="44"/>
        </w:rPr>
      </w:pPr>
      <w:r>
        <w:rPr>
          <w:rFonts w:hint="eastAsia" w:ascii="方正小标宋简体" w:hAnsi="Times New Roman" w:eastAsia="方正小标宋简体" w:cs="Times New Roman"/>
          <w:bCs/>
          <w:kern w:val="0"/>
          <w:sz w:val="44"/>
          <w:szCs w:val="44"/>
        </w:rPr>
        <w:t>关于巡察整改进展情况的通报</w:t>
      </w:r>
      <w:bookmarkEnd w:id="0"/>
      <w:bookmarkEnd w:id="1"/>
    </w:p>
    <w:p w14:paraId="793B19F5">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s="Times New Roman"/>
          <w:bCs/>
          <w:kern w:val="0"/>
          <w:sz w:val="32"/>
          <w:szCs w:val="32"/>
        </w:rPr>
      </w:pPr>
    </w:p>
    <w:p w14:paraId="64B3C465">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根据</w:t>
      </w:r>
      <w:r>
        <w:rPr>
          <w:rFonts w:hint="eastAsia" w:ascii="Times New Roman" w:hAnsi="Times New Roman" w:eastAsia="仿宋_GB2312" w:cs="Times New Roman"/>
          <w:bCs/>
          <w:kern w:val="0"/>
          <w:sz w:val="32"/>
          <w:szCs w:val="32"/>
          <w:lang w:eastAsia="zh-CN"/>
        </w:rPr>
        <w:t>区</w:t>
      </w:r>
      <w:r>
        <w:rPr>
          <w:rFonts w:hint="eastAsia" w:ascii="Times New Roman" w:hAnsi="Times New Roman" w:eastAsia="仿宋_GB2312" w:cs="Times New Roman"/>
          <w:bCs/>
          <w:kern w:val="0"/>
          <w:sz w:val="32"/>
          <w:szCs w:val="32"/>
        </w:rPr>
        <w:t>委统一部署，</w:t>
      </w:r>
      <w:r>
        <w:rPr>
          <w:rFonts w:hint="eastAsia" w:ascii="仿宋_GB2312" w:hAnsi="仿宋_GB2312" w:eastAsia="仿宋_GB2312" w:cs="仿宋_GB2312"/>
          <w:sz w:val="32"/>
          <w:szCs w:val="32"/>
          <w:lang w:val="en-US" w:eastAsia="zh-CN"/>
        </w:rPr>
        <w:t>2024年3月29日至6月21日，区委专项巡察组对花山镇开展村级留用地专项巡察、</w:t>
      </w:r>
      <w:r>
        <w:rPr>
          <w:rFonts w:hint="eastAsia" w:ascii="仿宋_GB2312" w:eastAsia="仿宋_GB2312"/>
          <w:sz w:val="32"/>
          <w:szCs w:val="32"/>
        </w:rPr>
        <w:t>“百千万工程”典型村巡察</w:t>
      </w:r>
      <w:r>
        <w:rPr>
          <w:rFonts w:hint="eastAsia" w:ascii="仿宋_GB2312" w:hAnsi="仿宋_GB2312" w:eastAsia="仿宋_GB2312" w:cs="仿宋_GB2312"/>
          <w:sz w:val="32"/>
          <w:szCs w:val="32"/>
          <w:lang w:val="en-US" w:eastAsia="zh-CN"/>
        </w:rPr>
        <w:t>。2024年9月，区委第四巡察组、区委专项巡察组向花山镇党委反馈了巡察意见。</w:t>
      </w:r>
      <w:r>
        <w:rPr>
          <w:rFonts w:ascii="Times New Roman" w:hAnsi="Times New Roman" w:eastAsia="仿宋_GB2312" w:cs="Times New Roman"/>
          <w:bCs/>
          <w:kern w:val="0"/>
          <w:sz w:val="32"/>
          <w:szCs w:val="32"/>
        </w:rPr>
        <w:t>根据《中国共产党巡视工作条例》和《中国共产党党内监督条例》有关规定，现将</w:t>
      </w:r>
      <w:r>
        <w:rPr>
          <w:rFonts w:hint="eastAsia" w:ascii="Times New Roman" w:hAnsi="Times New Roman" w:eastAsia="仿宋_GB2312" w:cs="Times New Roman"/>
          <w:bCs/>
          <w:kern w:val="0"/>
          <w:sz w:val="32"/>
          <w:szCs w:val="32"/>
        </w:rPr>
        <w:t>巡察</w:t>
      </w:r>
      <w:r>
        <w:rPr>
          <w:rFonts w:ascii="Times New Roman" w:hAnsi="Times New Roman" w:eastAsia="仿宋_GB2312" w:cs="Times New Roman"/>
          <w:bCs/>
          <w:kern w:val="0"/>
          <w:sz w:val="32"/>
          <w:szCs w:val="32"/>
        </w:rPr>
        <w:t>整改情况予以</w:t>
      </w:r>
      <w:r>
        <w:rPr>
          <w:rFonts w:hint="eastAsia" w:ascii="Times New Roman" w:hAnsi="Times New Roman" w:eastAsia="仿宋_GB2312" w:cs="Times New Roman"/>
          <w:bCs/>
          <w:kern w:val="0"/>
          <w:sz w:val="32"/>
          <w:szCs w:val="32"/>
          <w:lang w:val="en-US" w:eastAsia="zh-CN"/>
        </w:rPr>
        <w:t>通报</w:t>
      </w:r>
      <w:r>
        <w:rPr>
          <w:rFonts w:ascii="Times New Roman" w:hAnsi="Times New Roman" w:eastAsia="仿宋_GB2312" w:cs="Times New Roman"/>
          <w:bCs/>
          <w:kern w:val="0"/>
          <w:sz w:val="32"/>
          <w:szCs w:val="32"/>
        </w:rPr>
        <w:t>。</w:t>
      </w:r>
    </w:p>
    <w:p w14:paraId="5A3BD3C8">
      <w:pPr>
        <w:keepNext w:val="0"/>
        <w:keepLines w:val="0"/>
        <w:pageBreakBefore w:val="0"/>
        <w:widowControl w:val="0"/>
        <w:kinsoku/>
        <w:wordWrap/>
        <w:overflowPunct/>
        <w:topLinePunct w:val="0"/>
        <w:bidi w:val="0"/>
        <w:snapToGrid/>
        <w:spacing w:line="560" w:lineRule="exact"/>
        <w:ind w:firstLine="640" w:firstLineChars="200"/>
        <w:jc w:val="both"/>
        <w:textAlignment w:val="auto"/>
        <w:outlineLvl w:val="1"/>
        <w:rPr>
          <w:rFonts w:hint="eastAsia" w:ascii="仿宋_GB2312" w:hAnsi="仿宋_GB2312" w:eastAsia="仿宋_GB2312" w:cs="仿宋_GB2312"/>
          <w:sz w:val="32"/>
          <w:szCs w:val="32"/>
          <w:lang w:val="en-US" w:eastAsia="zh-CN"/>
        </w:rPr>
      </w:pPr>
      <w:bookmarkStart w:id="2" w:name="_Toc30261"/>
      <w:r>
        <w:rPr>
          <w:rFonts w:hint="eastAsia" w:ascii="黑体" w:hAnsi="黑体" w:eastAsia="黑体" w:cs="黑体"/>
          <w:bCs/>
          <w:sz w:val="32"/>
          <w:szCs w:val="32"/>
        </w:rPr>
        <w:t>一、</w:t>
      </w:r>
      <w:r>
        <w:rPr>
          <w:rFonts w:hint="eastAsia" w:ascii="黑体" w:hAnsi="黑体" w:eastAsia="黑体" w:cs="黑体"/>
          <w:bCs/>
          <w:sz w:val="32"/>
          <w:szCs w:val="32"/>
          <w:lang w:val="en-US" w:eastAsia="zh-CN"/>
        </w:rPr>
        <w:t>党委及主要负责人组织落实整改情况</w:t>
      </w:r>
      <w:bookmarkEnd w:id="2"/>
    </w:p>
    <w:p w14:paraId="6F111529">
      <w:pPr>
        <w:keepNext w:val="0"/>
        <w:keepLines w:val="0"/>
        <w:pageBreakBefore w:val="0"/>
        <w:widowControl/>
        <w:suppressLineNumbers w:val="0"/>
        <w:kinsoku/>
        <w:wordWrap/>
        <w:overflowPunct/>
        <w:topLinePunct w:val="0"/>
        <w:bidi w:val="0"/>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（一）坚持思想引领，提高站位抓整改</w:t>
      </w:r>
    </w:p>
    <w:p w14:paraId="267E7875">
      <w:pPr>
        <w:keepNext w:val="0"/>
        <w:keepLines w:val="0"/>
        <w:pageBreakBefore w:val="0"/>
        <w:widowControl/>
        <w:suppressLineNumbers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镇党委坚持落实巡察整改主体责任，及时召开巡察整改专题会，传达学习习近平总书记关于巡视整改工作重要论述，专题研究部署巡察整改工作，以习近平新时代中国特色社会主义思想为指导，将巡察反馈意见整改工作作为践行“两个维护”、推动事业发展的具体体现和宝贵机遇，不断增强做好巡察反馈意见整改工作的责任感和使命感，切实推动巡察整改工作落实落细落地。成立以镇党委书记为组长的巡察整改工作领导小组，下设1个巡察整改工作办公室，根据专项巡察与“百千万工程”典型村巡察反馈的问题整理成问题清单，逐条对照细化整改措施，逐件明确整改责任和时限要求。2024年11月12日，镇党委指导“百千万工程”典型村洛场村党总支部召开专题组织生活会和党员民主评议，洛场村党总支结合实际情况和征求的意见，共查摆问题4个，制定整改落实措施4条，逐条明确整改责任人，逐条对号销账，以高度的政治责任感和严肃认真的态度抓好巡察整改工作。</w:t>
      </w:r>
    </w:p>
    <w:p w14:paraId="39E41FF5">
      <w:pPr>
        <w:keepNext w:val="0"/>
        <w:keepLines w:val="0"/>
        <w:pageBreakBefore w:val="0"/>
        <w:widowControl/>
        <w:suppressLineNumbers w:val="0"/>
        <w:kinsoku/>
        <w:wordWrap/>
        <w:overflowPunct/>
        <w:topLinePunct w:val="0"/>
        <w:bidi w:val="0"/>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（二）坚持领导带头，突出示范抓整改</w:t>
      </w:r>
    </w:p>
    <w:p w14:paraId="44F454E1">
      <w:pPr>
        <w:keepNext w:val="0"/>
        <w:keepLines w:val="0"/>
        <w:pageBreakBefore w:val="0"/>
        <w:widowControl/>
        <w:suppressLineNumbers w:val="0"/>
        <w:kinsoku/>
        <w:wordWrap/>
        <w:overflowPunct/>
        <w:topLinePunct w:val="0"/>
        <w:bidi w:val="0"/>
        <w:snapToGrid/>
        <w:spacing w:line="560" w:lineRule="exact"/>
        <w:ind w:firstLine="640" w:firstLineChars="200"/>
        <w:jc w:val="both"/>
        <w:textAlignment w:val="auto"/>
        <w:rPr>
          <w:rFonts w:hint="eastAsia" w:ascii="仿宋_GB2312" w:eastAsia="仿宋_GB2312" w:cs="Times New Roman"/>
          <w:sz w:val="32"/>
          <w:szCs w:val="32"/>
          <w:lang w:val="en-US" w:eastAsia="zh-CN"/>
        </w:rPr>
      </w:pPr>
      <w:r>
        <w:rPr>
          <w:rFonts w:hint="eastAsia" w:ascii="仿宋_GB2312" w:hAnsi="仿宋_GB2312" w:eastAsia="仿宋_GB2312" w:cs="仿宋_GB2312"/>
          <w:sz w:val="32"/>
          <w:szCs w:val="32"/>
          <w:lang w:val="en-US" w:eastAsia="zh-CN"/>
        </w:rPr>
        <w:t>镇党委书记高度重视巡视整改工作，自觉担负起第一责任人责任，带头</w:t>
      </w:r>
      <w:r>
        <w:rPr>
          <w:rFonts w:hint="eastAsia" w:ascii="仿宋_GB2312" w:hAnsi="Calibri" w:eastAsia="仿宋_GB2312" w:cs="Times New Roman"/>
          <w:sz w:val="32"/>
          <w:szCs w:val="32"/>
          <w:lang w:val="en-US" w:eastAsia="zh-CN"/>
        </w:rPr>
        <w:t>学习贯彻习近平总书记关于巡视工作重要论述</w:t>
      </w:r>
      <w:r>
        <w:rPr>
          <w:rFonts w:hint="eastAsia" w:ascii="仿宋_GB2312" w:eastAsia="仿宋_GB2312" w:cs="Times New Roman"/>
          <w:sz w:val="32"/>
          <w:szCs w:val="32"/>
          <w:lang w:val="en-US" w:eastAsia="zh-CN"/>
        </w:rPr>
        <w:t>，</w:t>
      </w:r>
      <w:r>
        <w:rPr>
          <w:rFonts w:hint="eastAsia" w:ascii="仿宋_GB2312" w:hAnsi="仿宋_GB2312" w:eastAsia="仿宋_GB2312" w:cs="仿宋_GB2312"/>
          <w:sz w:val="32"/>
          <w:szCs w:val="32"/>
          <w:lang w:val="en-US" w:eastAsia="zh-CN"/>
        </w:rPr>
        <w:t>对重要工作直接部署、重大问题直接过问、重要环节直接协调、重要案件直接督办。通过召开党委会、专题会、调度会、协调会，先后4次听取巡察整改工作汇报，认真分析问题清单，深入研究谋划整改，亲自协调解决重大问题并作出明确指示要求，推动整改落实全覆盖、动真格、见实效。多次</w:t>
      </w:r>
      <w:r>
        <w:rPr>
          <w:rFonts w:hint="eastAsia" w:ascii="仿宋_GB2312" w:hAnsi="Calibri" w:eastAsia="仿宋_GB2312" w:cs="Times New Roman"/>
          <w:sz w:val="32"/>
          <w:szCs w:val="32"/>
          <w:lang w:val="en-US" w:eastAsia="zh-CN"/>
        </w:rPr>
        <w:t>督促提醒领导班子其他成员落实“一岗双责”整改责任</w:t>
      </w:r>
      <w:r>
        <w:rPr>
          <w:rFonts w:hint="eastAsia" w:ascii="仿宋_GB2312" w:eastAsia="仿宋_GB2312" w:cs="Times New Roman"/>
          <w:sz w:val="32"/>
          <w:szCs w:val="32"/>
          <w:lang w:val="en-US" w:eastAsia="zh-CN"/>
        </w:rPr>
        <w:t>，要求班子成员主动领任务、担责任、牵头抓，坚持把自己摆进去、把职责摆进去、把工作摆进去，逐条对照检查，加强跟踪督办，全力落实整改任务。各相关部门牢固树立“一盘棋”思想，主动担当、积极作为，对照问题</w:t>
      </w:r>
      <w:r>
        <w:rPr>
          <w:rFonts w:hint="eastAsia" w:ascii="仿宋_GB2312" w:hAnsi="仿宋_GB2312" w:eastAsia="仿宋_GB2312" w:cs="仿宋_GB2312"/>
          <w:sz w:val="32"/>
          <w:szCs w:val="32"/>
          <w:lang w:val="en-US" w:eastAsia="zh-CN"/>
        </w:rPr>
        <w:t>深刻剖析，举一反三、延伸拓展，</w:t>
      </w:r>
      <w:r>
        <w:rPr>
          <w:rFonts w:hint="eastAsia" w:ascii="仿宋_GB2312" w:eastAsia="仿宋_GB2312" w:cs="Times New Roman"/>
          <w:sz w:val="32"/>
          <w:szCs w:val="32"/>
          <w:lang w:val="en-US" w:eastAsia="zh-CN"/>
        </w:rPr>
        <w:t>迅速扎实推进整改工作。</w:t>
      </w:r>
    </w:p>
    <w:p w14:paraId="44BCD2AE">
      <w:pPr>
        <w:keepNext w:val="0"/>
        <w:keepLines w:val="0"/>
        <w:pageBreakBefore w:val="0"/>
        <w:widowControl/>
        <w:suppressLineNumbers w:val="0"/>
        <w:kinsoku/>
        <w:wordWrap/>
        <w:overflowPunct/>
        <w:topLinePunct w:val="0"/>
        <w:bidi w:val="0"/>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（三）坚持系统观念，综合施策抓整改</w:t>
      </w:r>
    </w:p>
    <w:p w14:paraId="01A8500F">
      <w:pPr>
        <w:keepNext w:val="0"/>
        <w:keepLines w:val="0"/>
        <w:pageBreakBefore w:val="0"/>
        <w:widowControl/>
        <w:suppressLineNumbers w:val="0"/>
        <w:kinsoku/>
        <w:wordWrap/>
        <w:overflowPunct/>
        <w:topLinePunct w:val="0"/>
        <w:bidi w:val="0"/>
        <w:snapToGrid/>
        <w:spacing w:line="560" w:lineRule="exact"/>
        <w:ind w:firstLine="640" w:firstLineChars="200"/>
        <w:jc w:val="both"/>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镇党委持续加强对整改落实工作的经常性督促检查和跟踪督办，对反馈的问题建立整改台账，实施“挂图作战”。同时，对被巡察村洛场村点对点指导整改，指导洛场村制作整改台账，以图文形式记录整改过程、整改成效，确保整改任务有序推进、按期保质完成。坚持“当下改”与“长久立”并重，善于从根子上找原因、明责任、查对策，</w:t>
      </w:r>
      <w:r>
        <w:rPr>
          <w:rFonts w:hint="eastAsia" w:ascii="仿宋_GB2312" w:eastAsia="仿宋_GB2312" w:cs="Times New Roman"/>
          <w:sz w:val="32"/>
          <w:szCs w:val="32"/>
          <w:highlight w:val="none"/>
          <w:lang w:val="en-US" w:eastAsia="zh-CN"/>
        </w:rPr>
        <w:t>注重从体制机制上查堵漏洞、补齐短板。例如，为加强人居环境整治工作，从洛场、南村、花城、福源、狮民五条村先行先试，指导督促以上村集体按照村实际情况制定《人居环境整治积分制实施方案》，设立奖惩机制，加强村民对人居环境建设的重视。另外，指导相关责任单位建立颐康站管理制度、村租金管理制度，督促从“治病表”向“治病根”深化。</w:t>
      </w:r>
    </w:p>
    <w:p w14:paraId="1464A50C">
      <w:pPr>
        <w:keepNext w:val="0"/>
        <w:keepLines w:val="0"/>
        <w:pageBreakBefore w:val="0"/>
        <w:kinsoku/>
        <w:wordWrap/>
        <w:overflowPunct/>
        <w:topLinePunct w:val="0"/>
        <w:bidi w:val="0"/>
        <w:snapToGrid/>
        <w:spacing w:line="560" w:lineRule="exact"/>
        <w:ind w:firstLine="640" w:firstLineChars="200"/>
        <w:jc w:val="both"/>
        <w:textAlignment w:val="auto"/>
        <w:outlineLvl w:val="1"/>
        <w:rPr>
          <w:rFonts w:ascii="黑体" w:hAnsi="黑体" w:eastAsia="黑体" w:cs="Times New Roman"/>
          <w:bCs/>
          <w:kern w:val="0"/>
          <w:sz w:val="32"/>
          <w:szCs w:val="32"/>
        </w:rPr>
      </w:pPr>
      <w:bookmarkStart w:id="3" w:name="_Toc9806"/>
      <w:r>
        <w:rPr>
          <w:rFonts w:hint="eastAsia" w:ascii="黑体" w:hAnsi="黑体" w:eastAsia="黑体" w:cs="Times New Roman"/>
          <w:bCs/>
          <w:kern w:val="0"/>
          <w:sz w:val="32"/>
          <w:szCs w:val="32"/>
        </w:rPr>
        <w:t>二、</w:t>
      </w:r>
      <w:bookmarkEnd w:id="3"/>
      <w:r>
        <w:rPr>
          <w:rFonts w:hint="eastAsia" w:ascii="黑体" w:hAnsi="黑体" w:eastAsia="黑体" w:cs="Times New Roman"/>
          <w:bCs/>
          <w:kern w:val="0"/>
          <w:sz w:val="32"/>
          <w:szCs w:val="32"/>
        </w:rPr>
        <w:t>巡</w:t>
      </w:r>
      <w:r>
        <w:rPr>
          <w:rFonts w:hint="eastAsia" w:ascii="黑体" w:hAnsi="黑体" w:eastAsia="黑体" w:cs="Times New Roman"/>
          <w:bCs/>
          <w:kern w:val="0"/>
          <w:sz w:val="32"/>
          <w:szCs w:val="32"/>
          <w:lang w:val="en-US" w:eastAsia="zh-CN"/>
        </w:rPr>
        <w:t>察</w:t>
      </w:r>
      <w:r>
        <w:rPr>
          <w:rFonts w:hint="eastAsia" w:ascii="黑体" w:hAnsi="黑体" w:eastAsia="黑体" w:cs="Times New Roman"/>
          <w:bCs/>
          <w:kern w:val="0"/>
          <w:sz w:val="32"/>
          <w:szCs w:val="32"/>
        </w:rPr>
        <w:t>整改任务落实情况</w:t>
      </w:r>
    </w:p>
    <w:p w14:paraId="2575CF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（一）村级留用地专项巡察整改情况</w:t>
      </w:r>
    </w:p>
    <w:p w14:paraId="10BAF6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1.针对“</w:t>
      </w:r>
      <w:r>
        <w:rPr>
          <w:rFonts w:hint="eastAsia" w:ascii="仿宋_GB2312" w:hAnsi="仿宋_GB2312" w:eastAsia="仿宋_GB2312" w:cs="仿宋_GB2312"/>
          <w:b/>
          <w:bCs/>
          <w:sz w:val="32"/>
          <w:szCs w:val="32"/>
        </w:rPr>
        <w:t>历史约定不合理</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问题</w:t>
      </w:r>
    </w:p>
    <w:p w14:paraId="7769D99D">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巡察反馈的留用地未兑现问题已解决；关于返租费的问题，花山镇已根据上级文件要求执行了相应留用地返租补贴。关于未支付部分的问题，已与经济社沟通支付方案，经济社对方案基本同意，待区专题会议讨论后再进一步明确。</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b/>
          <w:bCs/>
          <w:sz w:val="32"/>
          <w:szCs w:val="32"/>
          <w:lang w:val="en-US" w:eastAsia="zh-CN"/>
        </w:rPr>
        <w:t xml:space="preserve">    2.针对“选址难度大”问题</w:t>
      </w:r>
      <w:r>
        <w:rPr>
          <w:rFonts w:hint="eastAsia" w:ascii="仿宋_GB2312" w:hAnsi="仿宋_GB2312" w:eastAsia="仿宋_GB2312" w:cs="仿宋_GB2312"/>
          <w:sz w:val="32"/>
          <w:szCs w:val="32"/>
          <w:lang w:val="en-US" w:eastAsia="zh-CN"/>
        </w:rPr>
        <w:br w:type="textWrapping"/>
      </w:r>
      <w:r>
        <w:rPr>
          <w:rFonts w:hint="eastAsia" w:ascii="楷体" w:hAnsi="楷体" w:eastAsia="楷体" w:cs="楷体"/>
          <w:sz w:val="32"/>
          <w:szCs w:val="32"/>
          <w:lang w:val="en-US" w:eastAsia="zh-CN"/>
        </w:rPr>
        <w:t xml:space="preserve">  </w:t>
      </w:r>
      <w:r>
        <w:rPr>
          <w:rFonts w:hint="eastAsia" w:ascii="仿宋_GB2312" w:hAnsi="仿宋_GB2312" w:eastAsia="仿宋_GB2312" w:cs="仿宋_GB2312"/>
          <w:sz w:val="32"/>
          <w:szCs w:val="32"/>
          <w:lang w:val="en-US" w:eastAsia="zh-CN"/>
        </w:rPr>
        <w:t xml:space="preserve">  结合机场三期工程安置区项目用地的规划调整契机，巡察反馈的留用地地块目前已完成规划调整，现花山镇已办理用地选址。后续将加快用地组卷报批工作，完成留用地的兑现。</w:t>
      </w:r>
    </w:p>
    <w:p w14:paraId="1CAAED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3.针对“研究推动留用地工作不够有力”问题</w:t>
      </w:r>
    </w:p>
    <w:p w14:paraId="336D80F4">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镇党委充分发挥领导核心作用，不断提高留用地落实工作的重视程度，尤其是对于历史问题、规范返租费等难题，积极通过党委会议、专题会议研究审议。经统计，留用地专项巡察组进驻花山以来，镇党委共通过15次党委会、4次专题会研究讨论留用地相关问题，有效推动了部分留用地问题的解决。    </w:t>
      </w:r>
    </w:p>
    <w:p w14:paraId="6534B9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4.针对“留用地底数不清，台账混乱”问题</w:t>
      </w:r>
    </w:p>
    <w:p w14:paraId="67D428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sz w:val="32"/>
          <w:szCs w:val="32"/>
          <w:lang w:val="en-US" w:eastAsia="zh-CN"/>
        </w:rPr>
      </w:pPr>
      <w:r>
        <w:rPr>
          <w:rFonts w:hint="eastAsia" w:ascii="仿宋_GB2312" w:hAnsi="仿宋_GB2312" w:eastAsia="仿宋_GB2312" w:cs="仿宋_GB2312"/>
          <w:kern w:val="2"/>
          <w:sz w:val="32"/>
          <w:szCs w:val="32"/>
          <w:lang w:val="en-US" w:eastAsia="zh-CN" w:bidi="ar-SA"/>
        </w:rPr>
        <w:t>已协助和指导各村社做好自留地返租费台账，摸清自留地返租费底数并定期与征地部门核对返租费数据，确保村收到返租费后及时结转，规范入账和支出。</w:t>
      </w:r>
    </w:p>
    <w:p w14:paraId="2021DC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5.针对“问题合同未整改”、“阴阳合同赫然存在”问题</w:t>
      </w:r>
    </w:p>
    <w:p w14:paraId="414642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目前，花山镇共梳理出问题合同23宗，经充分协商，目前已完成整改11宗。未整改完成的12宗，其中5宗已进入协商整改的最后阶段，预计2025年7月前整改完成；剩余7宗继续协商整改，如多次协商无果后，根据镇、村法律顾问意见，出具法律意见书，以诉讼方式解除合同。</w:t>
      </w:r>
      <w:r>
        <w:rPr>
          <w:rFonts w:hint="eastAsia" w:ascii="仿宋_GB2312" w:hAnsi="仿宋_GB2312" w:eastAsia="仿宋_GB2312" w:cs="仿宋_GB2312"/>
          <w:sz w:val="32"/>
          <w:szCs w:val="32"/>
          <w:lang w:val="en-US" w:eastAsia="zh-CN"/>
        </w:rPr>
        <w:t>巡察发现的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阴阳</w:t>
      </w:r>
      <w:r>
        <w:rPr>
          <w:rFonts w:hint="eastAsia" w:ascii="仿宋_GB2312" w:hAnsi="仿宋_GB2312" w:eastAsia="仿宋_GB2312" w:cs="仿宋_GB2312"/>
          <w:sz w:val="32"/>
          <w:szCs w:val="32"/>
        </w:rPr>
        <w:t>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在镇法律服务所见证下解除。</w:t>
      </w:r>
    </w:p>
    <w:p w14:paraId="42AF27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另外，花山镇以点带面、举一反三，对全镇各村合同进行清理整顿。</w:t>
      </w:r>
      <w:r>
        <w:rPr>
          <w:rFonts w:hint="eastAsia" w:ascii="仿宋_GB2312" w:hAnsi="仿宋_GB2312" w:eastAsia="仿宋_GB2312" w:cs="仿宋_GB2312"/>
          <w:sz w:val="32"/>
          <w:szCs w:val="32"/>
          <w:lang w:val="en-US" w:eastAsia="zh-CN"/>
        </w:rPr>
        <w:t>2025年4-5月，花山镇两次</w:t>
      </w:r>
      <w:r>
        <w:rPr>
          <w:rFonts w:hint="default" w:ascii="仿宋_GB2312" w:hAnsi="仿宋_GB2312" w:eastAsia="仿宋_GB2312" w:cs="仿宋_GB2312"/>
          <w:sz w:val="32"/>
          <w:szCs w:val="32"/>
          <w:lang w:val="en-US" w:eastAsia="zh-CN"/>
        </w:rPr>
        <w:t>召开</w:t>
      </w:r>
      <w:r>
        <w:rPr>
          <w:rFonts w:hint="eastAsia" w:ascii="仿宋_GB2312" w:hAnsi="仿宋_GB2312" w:eastAsia="仿宋_GB2312" w:cs="仿宋_GB2312"/>
          <w:sz w:val="32"/>
          <w:szCs w:val="32"/>
          <w:lang w:val="en-US" w:eastAsia="zh-CN"/>
        </w:rPr>
        <w:t>村级党组织“三资”问题</w:t>
      </w:r>
      <w:r>
        <w:rPr>
          <w:rFonts w:hint="default" w:ascii="仿宋_GB2312" w:hAnsi="仿宋_GB2312" w:eastAsia="仿宋_GB2312" w:cs="仿宋_GB2312"/>
          <w:sz w:val="32"/>
          <w:szCs w:val="32"/>
          <w:lang w:val="en-US" w:eastAsia="zh-CN"/>
        </w:rPr>
        <w:t>工作会议，指导和督促各村建立问题</w:t>
      </w:r>
      <w:r>
        <w:rPr>
          <w:rFonts w:hint="eastAsia" w:ascii="仿宋_GB2312" w:hAnsi="仿宋_GB2312" w:eastAsia="仿宋_GB2312" w:cs="仿宋_GB2312"/>
          <w:sz w:val="32"/>
          <w:szCs w:val="32"/>
          <w:lang w:val="en-US" w:eastAsia="zh-CN"/>
        </w:rPr>
        <w:t>合同</w:t>
      </w:r>
      <w:r>
        <w:rPr>
          <w:rFonts w:hint="default" w:ascii="仿宋_GB2312" w:hAnsi="仿宋_GB2312" w:eastAsia="仿宋_GB2312" w:cs="仿宋_GB2312"/>
          <w:sz w:val="32"/>
          <w:szCs w:val="32"/>
          <w:lang w:val="en-US" w:eastAsia="zh-CN"/>
        </w:rPr>
        <w:t>台账，并依据《花都区深入开展农村集体经济合同清理整顿方案》的规定，对问题</w:t>
      </w:r>
      <w:r>
        <w:rPr>
          <w:rFonts w:hint="eastAsia" w:ascii="仿宋_GB2312" w:hAnsi="仿宋_GB2312" w:eastAsia="仿宋_GB2312" w:cs="仿宋_GB2312"/>
          <w:sz w:val="32"/>
          <w:szCs w:val="32"/>
          <w:lang w:val="en-US" w:eastAsia="zh-CN"/>
        </w:rPr>
        <w:t>合同</w:t>
      </w:r>
      <w:r>
        <w:rPr>
          <w:rFonts w:hint="default" w:ascii="仿宋_GB2312" w:hAnsi="仿宋_GB2312" w:eastAsia="仿宋_GB2312" w:cs="仿宋_GB2312"/>
          <w:sz w:val="32"/>
          <w:szCs w:val="32"/>
          <w:lang w:val="en-US" w:eastAsia="zh-CN"/>
        </w:rPr>
        <w:t>设定整改期限。</w:t>
      </w:r>
      <w:r>
        <w:rPr>
          <w:rFonts w:hint="eastAsia" w:ascii="仿宋_GB2312" w:hAnsi="仿宋_GB2312" w:eastAsia="仿宋_GB2312" w:cs="仿宋_GB2312"/>
          <w:sz w:val="32"/>
          <w:szCs w:val="32"/>
          <w:lang w:val="en-US" w:eastAsia="zh-CN"/>
        </w:rPr>
        <w:t>5月26日，花山镇</w:t>
      </w:r>
      <w:r>
        <w:rPr>
          <w:rFonts w:hint="default" w:ascii="仿宋_GB2312" w:hAnsi="仿宋_GB2312" w:eastAsia="仿宋_GB2312" w:cs="仿宋_GB2312"/>
          <w:sz w:val="32"/>
          <w:szCs w:val="32"/>
          <w:lang w:val="en-US" w:eastAsia="zh-CN"/>
        </w:rPr>
        <w:t>向各村下发了限期整改通知书</w:t>
      </w:r>
      <w:r>
        <w:rPr>
          <w:rFonts w:hint="eastAsia" w:ascii="仿宋_GB2312" w:hAnsi="仿宋_GB2312" w:eastAsia="仿宋_GB2312" w:cs="仿宋_GB2312"/>
          <w:sz w:val="32"/>
          <w:szCs w:val="32"/>
          <w:lang w:val="en-US" w:eastAsia="zh-CN"/>
        </w:rPr>
        <w:t>，进一步压实各村整改责任</w:t>
      </w:r>
      <w:r>
        <w:rPr>
          <w:rFonts w:hint="default" w:ascii="仿宋_GB2312" w:hAnsi="仿宋_GB2312" w:eastAsia="仿宋_GB2312" w:cs="仿宋_GB2312"/>
          <w:sz w:val="32"/>
          <w:szCs w:val="32"/>
          <w:lang w:val="en-US" w:eastAsia="zh-CN"/>
        </w:rPr>
        <w:t>。</w:t>
      </w:r>
    </w:p>
    <w:p w14:paraId="041A4691">
      <w:pPr>
        <w:pStyle w:val="11"/>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6.针对“租金上偷梁换柱”问题</w:t>
      </w:r>
    </w:p>
    <w:p w14:paraId="4CE067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经过核对，巡察发现的部分欠租合同已协议解除，其他未通过协议解除的合同计划通过“四议两公开”民主决策程序进行处理。</w:t>
      </w:r>
    </w:p>
    <w:p w14:paraId="688B5D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除此之外，花山镇在</w:t>
      </w:r>
      <w:r>
        <w:rPr>
          <w:rFonts w:hint="default" w:ascii="仿宋_GB2312" w:hAnsi="仿宋_GB2312" w:eastAsia="仿宋_GB2312" w:cs="仿宋_GB2312"/>
          <w:sz w:val="32"/>
          <w:szCs w:val="32"/>
          <w:lang w:val="en-US" w:eastAsia="zh-CN"/>
        </w:rPr>
        <w:t>全镇范围内启动农村集体债权债务清理专项行动，重点对合同欠租情况进行深入清查</w:t>
      </w:r>
      <w:r>
        <w:rPr>
          <w:rFonts w:hint="eastAsia" w:ascii="仿宋_GB2312" w:hAnsi="仿宋_GB2312" w:eastAsia="仿宋_GB2312" w:cs="仿宋_GB2312"/>
          <w:sz w:val="32"/>
          <w:szCs w:val="32"/>
          <w:lang w:val="en-US" w:eastAsia="zh-CN"/>
        </w:rPr>
        <w:t>。花山镇相关部门</w:t>
      </w:r>
      <w:r>
        <w:rPr>
          <w:rFonts w:hint="default" w:ascii="仿宋_GB2312" w:hAnsi="仿宋_GB2312" w:eastAsia="仿宋_GB2312" w:cs="仿宋_GB2312"/>
          <w:sz w:val="32"/>
          <w:szCs w:val="32"/>
          <w:lang w:val="en-US" w:eastAsia="zh-CN"/>
        </w:rPr>
        <w:t>结合交易系统平台的升级工作，对系统上所有合同的收付款信息进行清查核对</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目前已完成4469份合同的清查，并更新了收付款信息，</w:t>
      </w:r>
      <w:r>
        <w:rPr>
          <w:rFonts w:hint="eastAsia" w:ascii="仿宋_GB2312" w:hAnsi="仿宋_GB2312" w:eastAsia="仿宋_GB2312" w:cs="仿宋_GB2312"/>
          <w:sz w:val="32"/>
          <w:szCs w:val="32"/>
          <w:lang w:val="en-US" w:eastAsia="zh-CN"/>
        </w:rPr>
        <w:t>确保</w:t>
      </w:r>
      <w:r>
        <w:rPr>
          <w:rFonts w:hint="default" w:ascii="仿宋_GB2312" w:hAnsi="仿宋_GB2312" w:eastAsia="仿宋_GB2312" w:cs="仿宋_GB2312"/>
          <w:sz w:val="32"/>
          <w:szCs w:val="32"/>
          <w:lang w:val="en-US" w:eastAsia="zh-CN"/>
        </w:rPr>
        <w:t>每个村社的合同收款信息清晰明了。针对存在欠租情况的村社，</w:t>
      </w:r>
      <w:r>
        <w:rPr>
          <w:rFonts w:hint="eastAsia" w:ascii="仿宋_GB2312" w:hAnsi="仿宋_GB2312" w:eastAsia="仿宋_GB2312" w:cs="仿宋_GB2312"/>
          <w:sz w:val="32"/>
          <w:szCs w:val="32"/>
          <w:lang w:val="en-US" w:eastAsia="zh-CN"/>
        </w:rPr>
        <w:t>已指导村</w:t>
      </w:r>
      <w:r>
        <w:rPr>
          <w:rFonts w:hint="default" w:ascii="仿宋_GB2312" w:hAnsi="仿宋_GB2312" w:eastAsia="仿宋_GB2312" w:cs="仿宋_GB2312"/>
          <w:sz w:val="32"/>
          <w:szCs w:val="32"/>
          <w:lang w:val="en-US" w:eastAsia="zh-CN"/>
        </w:rPr>
        <w:t>建立租金收缴台账</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对于无争议的欠租情况，统一发出《提醒通知书》，</w:t>
      </w:r>
      <w:r>
        <w:rPr>
          <w:rFonts w:hint="eastAsia" w:ascii="仿宋_GB2312" w:hAnsi="仿宋_GB2312" w:eastAsia="仿宋_GB2312" w:cs="仿宋_GB2312"/>
          <w:sz w:val="32"/>
          <w:szCs w:val="32"/>
          <w:lang w:val="en-US" w:eastAsia="zh-CN"/>
        </w:rPr>
        <w:t>目前</w:t>
      </w:r>
      <w:r>
        <w:rPr>
          <w:rFonts w:hint="default" w:ascii="仿宋_GB2312" w:hAnsi="仿宋_GB2312" w:eastAsia="仿宋_GB2312" w:cs="仿宋_GB2312"/>
          <w:sz w:val="32"/>
          <w:szCs w:val="32"/>
          <w:lang w:val="en-US" w:eastAsia="zh-CN"/>
        </w:rPr>
        <w:t>共发出26份</w:t>
      </w:r>
      <w:r>
        <w:rPr>
          <w:rFonts w:hint="eastAsia" w:ascii="仿宋_GB2312" w:hAnsi="仿宋_GB2312" w:eastAsia="仿宋_GB2312" w:cs="仿宋_GB2312"/>
          <w:sz w:val="32"/>
          <w:szCs w:val="32"/>
          <w:lang w:val="en-US" w:eastAsia="zh-CN"/>
        </w:rPr>
        <w:t>，督促其</w:t>
      </w:r>
      <w:r>
        <w:rPr>
          <w:rFonts w:hint="default" w:ascii="仿宋_GB2312" w:hAnsi="仿宋_GB2312" w:eastAsia="仿宋_GB2312" w:cs="仿宋_GB2312"/>
          <w:sz w:val="32"/>
          <w:szCs w:val="32"/>
          <w:lang w:val="en-US" w:eastAsia="zh-CN"/>
        </w:rPr>
        <w:t>迅速完成追收工作；对于存在争议的合同，以保障集体利益最大化为原则，充分征求法律意见，并召开社员会议，通过民主决策程序制定解决方案。</w:t>
      </w:r>
    </w:p>
    <w:p w14:paraId="0DE4C2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为全面压实村集体责任，保护村集体利益，花山镇还</w:t>
      </w:r>
      <w:r>
        <w:rPr>
          <w:rFonts w:hint="default" w:ascii="仿宋_GB2312" w:hAnsi="仿宋_GB2312" w:eastAsia="仿宋_GB2312" w:cs="仿宋_GB2312"/>
          <w:sz w:val="32"/>
          <w:szCs w:val="32"/>
          <w:lang w:val="en-US" w:eastAsia="zh-CN"/>
        </w:rPr>
        <w:t>指导村社利用系统平台查看合同收款信息及合同执行情况，并督促村社严格按照合同要求</w:t>
      </w:r>
      <w:r>
        <w:rPr>
          <w:rFonts w:hint="eastAsia" w:ascii="仿宋_GB2312" w:hAnsi="仿宋_GB2312" w:eastAsia="仿宋_GB2312" w:cs="仿宋_GB2312"/>
          <w:sz w:val="32"/>
          <w:szCs w:val="32"/>
          <w:lang w:val="en-US" w:eastAsia="zh-CN"/>
        </w:rPr>
        <w:t>规范</w:t>
      </w:r>
      <w:r>
        <w:rPr>
          <w:rFonts w:hint="default" w:ascii="仿宋_GB2312" w:hAnsi="仿宋_GB2312" w:eastAsia="仿宋_GB2312" w:cs="仿宋_GB2312"/>
          <w:sz w:val="32"/>
          <w:szCs w:val="32"/>
          <w:lang w:val="en-US" w:eastAsia="zh-CN"/>
        </w:rPr>
        <w:t>收款。</w:t>
      </w:r>
      <w:r>
        <w:rPr>
          <w:rFonts w:hint="eastAsia" w:ascii="仿宋_GB2312" w:hAnsi="仿宋_GB2312" w:eastAsia="仿宋_GB2312" w:cs="仿宋_GB2312"/>
          <w:sz w:val="32"/>
          <w:szCs w:val="32"/>
          <w:lang w:val="en-US" w:eastAsia="zh-CN"/>
        </w:rPr>
        <w:t>同时，指导村</w:t>
      </w:r>
      <w:r>
        <w:rPr>
          <w:rFonts w:hint="default" w:ascii="仿宋_GB2312" w:hAnsi="仿宋_GB2312" w:eastAsia="仿宋_GB2312" w:cs="仿宋_GB2312"/>
          <w:sz w:val="32"/>
          <w:szCs w:val="32"/>
          <w:lang w:val="en-US" w:eastAsia="zh-CN"/>
        </w:rPr>
        <w:t>将农村集体财务公开的要求与合同执行情况相结合，定期公开《合同执行情况表》，</w:t>
      </w:r>
      <w:r>
        <w:rPr>
          <w:rFonts w:hint="eastAsia" w:ascii="仿宋_GB2312" w:hAnsi="仿宋_GB2312" w:eastAsia="仿宋_GB2312" w:cs="仿宋_GB2312"/>
          <w:sz w:val="32"/>
          <w:szCs w:val="32"/>
          <w:lang w:val="en-US" w:eastAsia="zh-CN"/>
        </w:rPr>
        <w:t>积极</w:t>
      </w:r>
      <w:r>
        <w:rPr>
          <w:rFonts w:hint="default" w:ascii="仿宋_GB2312" w:hAnsi="仿宋_GB2312" w:eastAsia="仿宋_GB2312" w:cs="仿宋_GB2312"/>
          <w:sz w:val="32"/>
          <w:szCs w:val="32"/>
          <w:lang w:val="en-US" w:eastAsia="zh-CN"/>
        </w:rPr>
        <w:t>主动接受村民的监督。</w:t>
      </w:r>
    </w:p>
    <w:p w14:paraId="2EEDE808">
      <w:pPr>
        <w:pStyle w:val="11"/>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7.针对“落实违建巡查责任不到位”问题</w:t>
      </w:r>
    </w:p>
    <w:p w14:paraId="0FFB05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lang w:val="en-US" w:eastAsia="zh-CN" w:bidi="ar-SA"/>
        </w:rPr>
        <w:t>针对巡察反馈的违法建设行为，花山镇均已立行立改。</w:t>
      </w:r>
      <w:r>
        <w:rPr>
          <w:rFonts w:hint="eastAsia" w:ascii="仿宋_GB2312" w:hAnsi="仿宋_GB2312" w:eastAsia="仿宋_GB2312" w:cs="仿宋_GB2312"/>
          <w:kern w:val="2"/>
          <w:sz w:val="32"/>
          <w:szCs w:val="32"/>
          <w:highlight w:val="none"/>
          <w:lang w:val="en-US" w:eastAsia="zh-CN" w:bidi="ar-SA"/>
        </w:rPr>
        <w:t>2025年5月16日，区纪委监委第二派驻纪检监察组在审核巡察整改情况时发现的某地块约24.3亩农用地复耕复绿管养不力问题，已督促建设责任人落实管养责任，责任人现已完成复耕复绿。</w:t>
      </w:r>
    </w:p>
    <w:p w14:paraId="29DBF6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除此之外，花山镇综合行政执法队以“零容忍”态度，进一步加强违建行为巡查，筑牢控违拆违防线。</w:t>
      </w:r>
    </w:p>
    <w:p w14:paraId="3E279D2C">
      <w:pPr>
        <w:pStyle w:val="11"/>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8.针对“营商环境待优化”问题</w:t>
      </w:r>
    </w:p>
    <w:p w14:paraId="2E1A7C4D">
      <w:pPr>
        <w:pStyle w:val="11"/>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已协调相关村委会通过入户走访、召开社员会议等方式向村民进行相关政策法规的解释说明和宣传教育工作，提高村民的法律意识，指引他们依法依规表达诉求和维权。</w:t>
      </w:r>
    </w:p>
    <w:p w14:paraId="31DF68E3">
      <w:pPr>
        <w:pStyle w:val="11"/>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加强与花山派出所沟通联系，进一步深化《基层综治中心与公安部门矛盾纠纷衔接联动工作机制（试行）》。花山派出所强化日常巡查监督力度，提高出警处突能力，有效依法打击违法行为，切实维护花山镇的和谐稳定及经济社会发展秩序。</w:t>
      </w:r>
    </w:p>
    <w:p w14:paraId="6DD3F84F">
      <w:pPr>
        <w:pStyle w:val="11"/>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9.针对“村民未享受土地兑现红利”问题</w:t>
      </w:r>
    </w:p>
    <w:p w14:paraId="210BC155">
      <w:pPr>
        <w:pStyle w:val="11"/>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黑体" w:hAnsi="黑体" w:eastAsia="黑体" w:cs="黑体"/>
          <w:sz w:val="32"/>
          <w:szCs w:val="32"/>
          <w:lang w:val="en-US"/>
        </w:rPr>
      </w:pPr>
      <w:r>
        <w:rPr>
          <w:rFonts w:hint="eastAsia" w:ascii="仿宋_GB2312" w:hAnsi="仿宋_GB2312" w:eastAsia="仿宋_GB2312" w:cs="仿宋_GB2312"/>
          <w:b/>
          <w:bCs/>
          <w:kern w:val="2"/>
          <w:sz w:val="32"/>
          <w:szCs w:val="32"/>
          <w:lang w:val="en-US" w:eastAsia="zh-CN" w:bidi="ar-SA"/>
        </w:rPr>
        <w:t>一是主动分析原因，研究经济发展对策。</w:t>
      </w:r>
      <w:r>
        <w:rPr>
          <w:rFonts w:hint="eastAsia" w:ascii="仿宋_GB2312" w:hAnsi="仿宋_GB2312" w:eastAsia="仿宋_GB2312" w:cs="仿宋_GB2312"/>
          <w:kern w:val="2"/>
          <w:sz w:val="32"/>
          <w:szCs w:val="32"/>
          <w:lang w:val="en-US" w:eastAsia="zh-CN" w:bidi="ar-SA"/>
        </w:rPr>
        <w:t>经研究，被巡察村人均分红增长速度慢的原因是多项资产被征收，收入来源较单一，主要来源于厂房和土地出租。目前，花山镇正积极鼓励并支持对村发展有力的优质企业，通过优化产业结构、提升经济效益，进一步增加村的集体收益，为村民创造更多福祉。被巡察村经济发展留用地拟引入商业中心项目，已通过交易平台完成交易，并签订合同，现已通过发改立项，正在办理项目相关报建手续。</w:t>
      </w:r>
      <w:r>
        <w:rPr>
          <w:rFonts w:hint="eastAsia" w:ascii="仿宋_GB2312" w:hAnsi="仿宋_GB2312" w:eastAsia="仿宋_GB2312" w:cs="仿宋_GB2312"/>
          <w:b/>
          <w:bCs/>
          <w:kern w:val="2"/>
          <w:sz w:val="32"/>
          <w:szCs w:val="32"/>
          <w:lang w:val="en-US" w:eastAsia="zh-CN" w:bidi="ar-SA"/>
        </w:rPr>
        <w:t>二是加快规范合同，保护村集体利益。</w:t>
      </w:r>
      <w:r>
        <w:rPr>
          <w:rFonts w:hint="eastAsia" w:ascii="仿宋_GB2312" w:hAnsi="仿宋_GB2312" w:eastAsia="仿宋_GB2312" w:cs="仿宋_GB2312"/>
          <w:kern w:val="2"/>
          <w:sz w:val="32"/>
          <w:szCs w:val="32"/>
          <w:lang w:val="en-US" w:eastAsia="zh-CN" w:bidi="ar-SA"/>
        </w:rPr>
        <w:t>对需要整改的合同进行全面梳理，并重新引导相关资产上平台进行规范化交易，确保每一笔交易都能为村民带来实实在在的集体收益提升。</w:t>
      </w:r>
    </w:p>
    <w:p w14:paraId="2DF76A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（二）“百千万工程”典型村巡察整改情况</w:t>
      </w:r>
    </w:p>
    <w:p w14:paraId="3058A6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1.落实党的路线方针政策和省委“百千万工程”高质量发展决策部署有差距</w:t>
      </w:r>
    </w:p>
    <w:p w14:paraId="37A09995">
      <w:pPr>
        <w:pStyle w:val="11"/>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（1）推进“百千万工程”仍需加力提速</w:t>
      </w:r>
    </w:p>
    <w:p w14:paraId="14235C1B">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一是加大对“百千万工程”典型村洛场村的宣传发动力度。</w:t>
      </w:r>
      <w:r>
        <w:rPr>
          <w:rFonts w:hint="eastAsia" w:ascii="仿宋_GB2312" w:hAnsi="仿宋_GB2312" w:eastAsia="仿宋_GB2312" w:cs="仿宋_GB2312"/>
          <w:kern w:val="2"/>
          <w:sz w:val="32"/>
          <w:szCs w:val="32"/>
          <w:lang w:val="en-US" w:eastAsia="zh-CN" w:bidi="ar-SA"/>
        </w:rPr>
        <w:t>指导洛场村制定“百千万工程”宣传发动机制，通过召开2次党总支会议、2次党员会议、1次村民代表会议，以议题的形式对“百千万工程”进行讨论学习，通过微信群、大喇叭等形式对村民广而告之，明确本村“百千万工程”具体项目内容、责任人，定期进行进度公示。</w:t>
      </w:r>
      <w:r>
        <w:rPr>
          <w:rFonts w:hint="eastAsia" w:ascii="仿宋_GB2312" w:hAnsi="仿宋_GB2312" w:eastAsia="仿宋_GB2312" w:cs="仿宋_GB2312"/>
          <w:b/>
          <w:bCs/>
          <w:kern w:val="2"/>
          <w:sz w:val="32"/>
          <w:szCs w:val="32"/>
          <w:lang w:val="en-US" w:eastAsia="zh-CN" w:bidi="ar-SA"/>
        </w:rPr>
        <w:t>二是加强</w:t>
      </w:r>
      <w:r>
        <w:rPr>
          <w:rFonts w:hint="eastAsia" w:ascii="仿宋_GB2312" w:hAnsi="仿宋_GB2312" w:eastAsia="仿宋_GB2312" w:cs="仿宋_GB2312"/>
          <w:b/>
          <w:bCs/>
          <w:kern w:val="2"/>
          <w:sz w:val="32"/>
          <w:szCs w:val="32"/>
          <w:highlight w:val="none"/>
          <w:lang w:val="en-US" w:eastAsia="zh-CN" w:bidi="ar-SA"/>
        </w:rPr>
        <w:t>“百千万工程”项目推进能力。</w:t>
      </w:r>
      <w:r>
        <w:rPr>
          <w:rFonts w:hint="eastAsia" w:ascii="仿宋_GB2312" w:hAnsi="仿宋_GB2312" w:eastAsia="仿宋_GB2312" w:cs="仿宋_GB2312"/>
          <w:kern w:val="2"/>
          <w:sz w:val="32"/>
          <w:szCs w:val="32"/>
          <w:lang w:val="en-US" w:eastAsia="zh-CN" w:bidi="ar-SA"/>
        </w:rPr>
        <w:t>花山镇已召集司法所、村干部及经济社干部组成协调工作小组，在不影响村民工作和休息的前提下逐户上门走访，征求村民期望的留用地盘活方案，争取尽快盘活村内留用地；加强</w:t>
      </w:r>
      <w:r>
        <w:rPr>
          <w:rFonts w:hint="eastAsia" w:ascii="仿宋_GB2312" w:hAnsi="仿宋_GB2312" w:eastAsia="仿宋_GB2312" w:cs="仿宋_GB2312"/>
          <w:b w:val="0"/>
          <w:bCs w:val="0"/>
          <w:kern w:val="2"/>
          <w:sz w:val="32"/>
          <w:szCs w:val="32"/>
          <w:lang w:val="en-US" w:eastAsia="zh-CN" w:bidi="ar-SA"/>
        </w:rPr>
        <w:t>外立面整体提升及村委周边环境改造项目的实施，现已竣工；</w:t>
      </w:r>
      <w:r>
        <w:rPr>
          <w:rFonts w:hint="eastAsia" w:ascii="仿宋_GB2312" w:hAnsi="仿宋_GB2312" w:eastAsia="仿宋_GB2312" w:cs="仿宋_GB2312"/>
          <w:kern w:val="2"/>
          <w:sz w:val="32"/>
          <w:szCs w:val="32"/>
          <w:lang w:val="en-US" w:eastAsia="zh-CN" w:bidi="ar-SA"/>
        </w:rPr>
        <w:t>为推进“花山小镇”文旅项目高质量建设发展，提升文旅品牌综合品质和效益，花山镇通过资料收集、面对面访谈、实地走访等多种方式对7家意向企业开展调研，重点分析企业资质、资源优势和合作潜力，</w:t>
      </w:r>
      <w:r>
        <w:rPr>
          <w:rFonts w:hint="eastAsia" w:ascii="仿宋_GB2312" w:hAnsi="仿宋_GB2312" w:eastAsia="仿宋_GB2312" w:cs="仿宋_GB2312"/>
          <w:kern w:val="2"/>
          <w:sz w:val="32"/>
          <w:szCs w:val="32"/>
          <w:highlight w:val="none"/>
          <w:lang w:val="en-US" w:eastAsia="zh-CN" w:bidi="ar-SA"/>
        </w:rPr>
        <w:t>目前已选择全国排名领先的文旅公司合作，并签订框架合作协议，目前</w:t>
      </w:r>
      <w:r>
        <w:rPr>
          <w:rFonts w:hint="eastAsia" w:ascii="仿宋_GB2312" w:hAnsi="仿宋_GB2312" w:eastAsia="仿宋_GB2312" w:cs="仿宋_GB2312"/>
          <w:kern w:val="2"/>
          <w:sz w:val="32"/>
          <w:szCs w:val="32"/>
          <w:lang w:val="en-US" w:eastAsia="zh-CN" w:bidi="ar-SA"/>
        </w:rPr>
        <w:t>已完成《文旅运营规划方案》初稿，正逐渐修改完善。另外，正积极申请专项债资金、中央预算资金、超长期国债，为文旅项目建设筹措更多资金来源。</w:t>
      </w:r>
      <w:r>
        <w:rPr>
          <w:rFonts w:hint="eastAsia" w:ascii="仿宋_GB2312" w:hAnsi="仿宋_GB2312" w:eastAsia="仿宋_GB2312" w:cs="仿宋_GB2312"/>
          <w:b/>
          <w:bCs/>
          <w:kern w:val="2"/>
          <w:sz w:val="32"/>
          <w:szCs w:val="32"/>
          <w:lang w:val="en-US" w:eastAsia="zh-CN" w:bidi="ar-SA"/>
        </w:rPr>
        <w:t>三是着力提高</w:t>
      </w:r>
      <w:r>
        <w:rPr>
          <w:rFonts w:hint="eastAsia" w:ascii="仿宋_GB2312" w:hAnsi="仿宋_GB2312" w:eastAsia="仿宋_GB2312" w:cs="仿宋_GB2312"/>
          <w:b/>
          <w:bCs/>
          <w:kern w:val="2"/>
          <w:sz w:val="32"/>
          <w:szCs w:val="32"/>
          <w:highlight w:val="none"/>
          <w:lang w:val="en-US" w:eastAsia="zh-CN" w:bidi="ar-SA"/>
        </w:rPr>
        <w:t>集体经济经营性收入。</w:t>
      </w:r>
      <w:r>
        <w:rPr>
          <w:rFonts w:hint="eastAsia" w:ascii="仿宋_GB2312" w:hAnsi="仿宋_GB2312" w:eastAsia="仿宋_GB2312" w:cs="仿宋_GB2312"/>
          <w:kern w:val="2"/>
          <w:sz w:val="32"/>
          <w:szCs w:val="32"/>
          <w:lang w:val="en-US" w:eastAsia="zh-CN" w:bidi="ar-SA"/>
        </w:rPr>
        <w:t>基于洛场村地理优势、交通便利、特有的华侨文化、华侨碉楼建筑，花山镇继续加大力度建设花山小镇文旅项目，提升村民房屋价值和增加村民创业、就业机会；成立物业管理公司，加强洛场村卫生、治安等方面管理；加大招商引资力度，洛场村经济发展留用地拟引入商业中心项目，已通过交易平台完成交易，并签订合同，现已通过发改立项，正在办理项目相关报建手续。</w:t>
      </w:r>
    </w:p>
    <w:p w14:paraId="6EB8E3A1">
      <w:pPr>
        <w:pStyle w:val="11"/>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（2）乡村治理仍然面临诸多问题</w:t>
      </w:r>
    </w:p>
    <w:p w14:paraId="7FE8CC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highlight w:val="none"/>
          <w:lang w:val="en-US" w:eastAsia="zh-CN"/>
        </w:rPr>
        <w:t>一是着力提升</w:t>
      </w:r>
      <w:r>
        <w:rPr>
          <w:rFonts w:hint="eastAsia" w:ascii="仿宋_GB2312" w:hAnsi="仿宋_GB2312" w:eastAsia="仿宋_GB2312" w:cs="仿宋_GB2312"/>
          <w:b/>
          <w:bCs/>
          <w:kern w:val="2"/>
          <w:sz w:val="32"/>
          <w:szCs w:val="32"/>
          <w:lang w:val="en-US" w:eastAsia="zh-CN" w:bidi="ar-SA"/>
        </w:rPr>
        <w:t>人居环境整治水平。</w:t>
      </w:r>
      <w:r>
        <w:rPr>
          <w:rFonts w:hint="eastAsia" w:ascii="仿宋_GB2312" w:hAnsi="仿宋_GB2312" w:eastAsia="仿宋_GB2312" w:cs="仿宋_GB2312"/>
          <w:kern w:val="2"/>
          <w:sz w:val="32"/>
          <w:szCs w:val="32"/>
          <w:lang w:val="en-US" w:eastAsia="zh-CN" w:bidi="ar-SA"/>
        </w:rPr>
        <w:t>成立村人居环境整治专项小组，对全村范围内的杂物乱堆放、杂草垃圾未清理等问题进行全面排查，明确问题的具体位置、责任人等信息，责令村民对排查出的杂物、杂草和垃圾进行集中清理；合理设置垃圾收集点，每日增加垃圾清运频次，确保垃圾及时清理；加强对村民的宣传教育，共派发了500张《致村民一封信》和公告，引导村民养成良好的卫生习惯；建立定期巡查制度，对整改情况进行跟踪检查，确保问题不反弹；建立长效管理机制，根据洛场村实际制定《洛场村人居环境整治积分制实施方案》，加强村民对人居环境建设的重视。目前，洛场村的人居环境整治效果相比之前有明显的提升。巡察发现的</w:t>
      </w:r>
      <w:r>
        <w:rPr>
          <w:rFonts w:hint="eastAsia" w:ascii="仿宋_GB2312" w:hAnsi="仿宋_GB2312" w:eastAsia="仿宋_GB2312" w:cs="仿宋_GB2312"/>
          <w:b w:val="0"/>
          <w:bCs w:val="0"/>
          <w:kern w:val="2"/>
          <w:sz w:val="32"/>
          <w:szCs w:val="32"/>
          <w:lang w:val="en-US" w:eastAsia="zh-CN" w:bidi="ar-SA"/>
        </w:rPr>
        <w:t>某厂污水直排问题，</w:t>
      </w:r>
      <w:r>
        <w:rPr>
          <w:rFonts w:hint="eastAsia" w:ascii="仿宋_GB2312" w:hAnsi="仿宋_GB2312" w:eastAsia="仿宋_GB2312" w:cs="仿宋_GB2312"/>
          <w:kern w:val="2"/>
          <w:sz w:val="32"/>
          <w:szCs w:val="32"/>
          <w:lang w:val="en-US" w:eastAsia="zh-CN" w:bidi="ar-SA"/>
        </w:rPr>
        <w:t>洛场村已立即责令当事人整改，并新增排污渠道纳入污水管网。</w:t>
      </w:r>
      <w:r>
        <w:rPr>
          <w:rFonts w:hint="eastAsia" w:ascii="仿宋_GB2312" w:hAnsi="仿宋_GB2312" w:eastAsia="仿宋_GB2312" w:cs="仿宋_GB2312"/>
          <w:b/>
          <w:bCs/>
          <w:kern w:val="2"/>
          <w:sz w:val="32"/>
          <w:szCs w:val="32"/>
          <w:lang w:val="en-US" w:eastAsia="zh-CN" w:bidi="ar-SA"/>
        </w:rPr>
        <w:t>二是切实加强生活垃圾分类工作。</w:t>
      </w:r>
      <w:r>
        <w:rPr>
          <w:rFonts w:hint="eastAsia" w:ascii="仿宋_GB2312" w:hAnsi="仿宋_GB2312" w:eastAsia="仿宋_GB2312" w:cs="仿宋_GB2312"/>
          <w:b w:val="0"/>
          <w:bCs w:val="0"/>
          <w:kern w:val="2"/>
          <w:sz w:val="32"/>
          <w:szCs w:val="32"/>
          <w:lang w:val="en-US" w:eastAsia="zh-CN" w:bidi="ar-SA"/>
        </w:rPr>
        <w:t>花山镇</w:t>
      </w:r>
      <w:r>
        <w:rPr>
          <w:rFonts w:hint="eastAsia" w:ascii="仿宋_GB2312" w:hAnsi="仿宋_GB2312" w:eastAsia="仿宋_GB2312" w:cs="仿宋_GB2312"/>
          <w:kern w:val="2"/>
          <w:sz w:val="32"/>
          <w:szCs w:val="32"/>
          <w:lang w:val="en-US" w:eastAsia="zh-CN" w:bidi="ar-SA"/>
        </w:rPr>
        <w:t>加大宣传教育力度，提高村民垃圾分类和环保意识。组织开展形式多样的宣传活动，通过悬挂宣传横幅、发放宣传资料、举办环保讲座等方式，普及垃圾分类知识，增强村民对生态环境保护的认识。巡察反馈问题后，共开展垃圾分类宣传活动11场，覆盖2500余人，共派发宣传小册子2000多张；加强巡查力度，镇已成立垃圾分类巡查小组，指导洛场村重新布置垃圾分类收集点，并加强日常保洁，每月对洛场村进行巡查、监督指导工作，按月度对洛场村的垃圾分类工作开展评比，对村庄垃圾分类工作实施情况进行日常性检查，并定期公示及反馈检查结果。洛场村亦每月根据区、镇制定的垃圾分类检查评分标准，对本村的垃圾分类工作开展评比，对村庄垃圾分类工作实施情况进行日常性检查，并定期公示及反馈检查结果。巡察反馈问题后，共检查25余次，下发限期整改交办函19份，整改率达100%。</w:t>
      </w:r>
      <w:r>
        <w:rPr>
          <w:rFonts w:hint="eastAsia" w:ascii="仿宋_GB2312" w:hAnsi="仿宋_GB2312" w:eastAsia="仿宋_GB2312" w:cs="仿宋_GB2312"/>
          <w:b/>
          <w:bCs/>
          <w:kern w:val="2"/>
          <w:sz w:val="32"/>
          <w:szCs w:val="32"/>
          <w:lang w:val="en-US" w:eastAsia="zh-CN" w:bidi="ar-SA"/>
        </w:rPr>
        <w:t>三是加强消防安全管理。</w:t>
      </w:r>
      <w:r>
        <w:rPr>
          <w:rFonts w:hint="eastAsia" w:ascii="仿宋_GB2312" w:hAnsi="仿宋_GB2312" w:eastAsia="仿宋_GB2312" w:cs="仿宋_GB2312"/>
          <w:kern w:val="2"/>
          <w:sz w:val="32"/>
          <w:szCs w:val="32"/>
          <w:lang w:val="en-US" w:eastAsia="zh-CN" w:bidi="ar-SA"/>
        </w:rPr>
        <w:t>强化微型消防站建设，按照二类微型消防站要求配齐各类消防器材、办公用品，增加了消防员灭火防护服、防爆照明灯、安全绳、防毒面罩、灭火器、加厚水带等装备，满足日常值守要求；对站内电单车违规飞线充电问题进行整改，增设电路插座，并引导村委工作人员合理充电；强化消防安全宣传和隐患排查工作，组织出租屋房东召开消防安全部署及宣传工作会议，压实出租屋消防安全管理责任，组织各村（社区）开展全生产和消防隐患排查培训，督促各村（社区）加强村内经营场所日常消防检查，严格按要求落实隐患闭环整改。</w:t>
      </w:r>
    </w:p>
    <w:p w14:paraId="5D17BCF2">
      <w:pPr>
        <w:pStyle w:val="11"/>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（3）公共服务供给存在短板</w:t>
      </w:r>
    </w:p>
    <w:p w14:paraId="6DF3B736">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Calibri" w:hAnsi="Calibri" w:eastAsia="宋体" w:cs="Times New Roman"/>
          <w:kern w:val="2"/>
          <w:sz w:val="32"/>
          <w:szCs w:val="32"/>
          <w:lang w:val="en-US" w:eastAsia="zh-CN" w:bidi="ar-SA"/>
        </w:rPr>
      </w:pPr>
      <w:r>
        <w:rPr>
          <w:rFonts w:hint="eastAsia" w:ascii="仿宋_GB2312" w:hAnsi="仿宋_GB2312" w:eastAsia="仿宋_GB2312" w:cs="仿宋_GB2312"/>
          <w:b/>
          <w:bCs/>
          <w:sz w:val="32"/>
          <w:szCs w:val="32"/>
          <w:highlight w:val="none"/>
          <w:lang w:val="en-US" w:eastAsia="zh-CN"/>
        </w:rPr>
        <w:t>一是加强</w:t>
      </w:r>
      <w:r>
        <w:rPr>
          <w:rFonts w:hint="eastAsia" w:ascii="仿宋_GB2312" w:hAnsi="仿宋_GB2312" w:eastAsia="仿宋_GB2312" w:cs="仿宋_GB2312"/>
          <w:b/>
          <w:bCs/>
          <w:kern w:val="2"/>
          <w:sz w:val="32"/>
          <w:szCs w:val="32"/>
          <w:lang w:val="en-US" w:eastAsia="zh-CN" w:bidi="ar-SA"/>
        </w:rPr>
        <w:t>公共服务设施管养。</w:t>
      </w:r>
      <w:r>
        <w:rPr>
          <w:rFonts w:hint="eastAsia" w:ascii="仿宋_GB2312" w:hAnsi="仿宋_GB2312" w:eastAsia="仿宋_GB2312" w:cs="仿宋_GB2312"/>
          <w:kern w:val="2"/>
          <w:sz w:val="32"/>
          <w:szCs w:val="32"/>
          <w:lang w:val="en-US" w:eastAsia="zh-CN" w:bidi="ar-SA"/>
        </w:rPr>
        <w:t>巡察发现的无人管理公厕均停止使用，并根据实际需要暂时配置了移动式公厕，待资金到位后，将另行选址重建。</w:t>
      </w:r>
      <w:r>
        <w:rPr>
          <w:rFonts w:hint="eastAsia" w:ascii="仿宋_GB2312" w:hAnsi="仿宋_GB2312" w:eastAsia="仿宋_GB2312" w:cs="仿宋_GB2312"/>
          <w:b/>
          <w:bCs/>
          <w:kern w:val="2"/>
          <w:sz w:val="32"/>
          <w:szCs w:val="32"/>
          <w:lang w:val="en-US" w:eastAsia="zh-CN" w:bidi="ar-SA"/>
        </w:rPr>
        <w:t>二是加强公共服务供给监管。</w:t>
      </w:r>
      <w:r>
        <w:rPr>
          <w:rFonts w:hint="eastAsia" w:ascii="仿宋_GB2312" w:hAnsi="仿宋_GB2312" w:eastAsia="仿宋_GB2312" w:cs="仿宋_GB2312"/>
          <w:kern w:val="2"/>
          <w:sz w:val="32"/>
          <w:szCs w:val="32"/>
          <w:lang w:val="en-US" w:eastAsia="zh-CN" w:bidi="ar-SA"/>
        </w:rPr>
        <w:t>已督促相关场所落实整改，并建立管理制度；完善配齐急救箱清单内常备药品，加量放置常备药品；落实每天至少两次卫生清理，保障干净整洁的卫生环境。</w:t>
      </w:r>
    </w:p>
    <w:p w14:paraId="2DC63F00">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2.履行全面从严治党“两个责任”不够到位</w:t>
      </w:r>
    </w:p>
    <w:p w14:paraId="7012144B">
      <w:pPr>
        <w:pStyle w:val="11"/>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（1）责任压力传导递减</w:t>
      </w:r>
    </w:p>
    <w:p w14:paraId="5FF6E8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楷体" w:hAnsi="楷体" w:eastAsia="楷体" w:cs="楷体"/>
          <w:kern w:val="2"/>
          <w:sz w:val="32"/>
          <w:szCs w:val="32"/>
          <w:lang w:val="en-US" w:eastAsia="zh-CN" w:bidi="ar-SA"/>
        </w:rPr>
      </w:pPr>
      <w:r>
        <w:rPr>
          <w:rFonts w:hint="eastAsia" w:ascii="仿宋_GB2312" w:hAnsi="仿宋_GB2312" w:eastAsia="仿宋_GB2312" w:cs="仿宋_GB2312"/>
          <w:b/>
          <w:bCs/>
          <w:sz w:val="32"/>
          <w:szCs w:val="32"/>
          <w:highlight w:val="none"/>
          <w:lang w:val="en-US" w:eastAsia="zh-CN"/>
        </w:rPr>
        <w:t>一是落实</w:t>
      </w:r>
      <w:r>
        <w:rPr>
          <w:rFonts w:hint="eastAsia" w:ascii="仿宋_GB2312" w:hAnsi="仿宋_GB2312" w:eastAsia="仿宋_GB2312" w:cs="仿宋_GB2312"/>
          <w:b/>
          <w:bCs/>
          <w:kern w:val="2"/>
          <w:sz w:val="32"/>
          <w:szCs w:val="32"/>
          <w:lang w:val="en-US" w:eastAsia="zh-CN" w:bidi="ar-SA"/>
        </w:rPr>
        <w:t>村务监督。</w:t>
      </w:r>
      <w:r>
        <w:rPr>
          <w:rFonts w:hint="eastAsia" w:ascii="仿宋_GB2312" w:hAnsi="仿宋_GB2312" w:eastAsia="仿宋_GB2312" w:cs="仿宋_GB2312"/>
          <w:b w:val="0"/>
          <w:bCs w:val="0"/>
          <w:kern w:val="2"/>
          <w:sz w:val="32"/>
          <w:szCs w:val="32"/>
          <w:lang w:val="en-US" w:eastAsia="zh-CN" w:bidi="ar-SA"/>
        </w:rPr>
        <w:t>已要求村</w:t>
      </w:r>
      <w:r>
        <w:rPr>
          <w:rFonts w:hint="eastAsia" w:ascii="仿宋_GB2312" w:hAnsi="仿宋_GB2312" w:eastAsia="仿宋_GB2312" w:cs="仿宋_GB2312"/>
          <w:kern w:val="2"/>
          <w:sz w:val="32"/>
          <w:szCs w:val="32"/>
          <w:lang w:val="en-US" w:eastAsia="zh-CN" w:bidi="ar-SA"/>
        </w:rPr>
        <w:t>严格按照村务监督制度进行监督记录并签名。通过整改，监督记录本中的各项记录更加完整，涵盖了村务监督的各个方面，包括财务收支监督、重大事项决策监督、工程项目监督等，记录内容准确无误，对监督事项的描述清晰明了。</w:t>
      </w:r>
      <w:r>
        <w:rPr>
          <w:rFonts w:hint="eastAsia" w:ascii="仿宋_GB2312" w:hAnsi="仿宋_GB2312" w:eastAsia="仿宋_GB2312" w:cs="仿宋_GB2312"/>
          <w:b/>
          <w:bCs/>
          <w:kern w:val="2"/>
          <w:sz w:val="32"/>
          <w:szCs w:val="32"/>
          <w:lang w:val="en-US" w:eastAsia="zh-CN" w:bidi="ar-SA"/>
        </w:rPr>
        <w:t>二是严格开展党员民主评议。</w:t>
      </w:r>
      <w:r>
        <w:rPr>
          <w:rFonts w:hint="eastAsia" w:ascii="仿宋_GB2312" w:hAnsi="仿宋_GB2312" w:eastAsia="仿宋_GB2312" w:cs="仿宋_GB2312"/>
          <w:kern w:val="2"/>
          <w:sz w:val="32"/>
          <w:szCs w:val="32"/>
          <w:lang w:val="en-US" w:eastAsia="zh-CN" w:bidi="ar-SA"/>
        </w:rPr>
        <w:t>已严格指导洛场村按上级要求规范，认真检查党务资料，对发现的错误进行整改。同时，要求村组织党员民主评议活动要做到严谨，按实际填好日期，保管好民主评议票，努力做好评议工作，提升党员和村民满意率。</w:t>
      </w:r>
      <w:r>
        <w:rPr>
          <w:rFonts w:hint="eastAsia" w:ascii="仿宋_GB2312" w:hAnsi="仿宋_GB2312" w:eastAsia="仿宋_GB2312" w:cs="仿宋_GB2312"/>
          <w:b/>
          <w:bCs/>
          <w:kern w:val="2"/>
          <w:sz w:val="32"/>
          <w:szCs w:val="32"/>
          <w:lang w:val="en-US" w:eastAsia="zh-CN" w:bidi="ar-SA"/>
        </w:rPr>
        <w:t>三是加强党员管理教育。</w:t>
      </w:r>
      <w:r>
        <w:rPr>
          <w:rFonts w:hint="eastAsia" w:ascii="仿宋_GB2312" w:hAnsi="仿宋_GB2312" w:eastAsia="仿宋_GB2312" w:cs="仿宋_GB2312"/>
          <w:kern w:val="2"/>
          <w:sz w:val="32"/>
          <w:szCs w:val="32"/>
          <w:lang w:val="en-US" w:eastAsia="zh-CN" w:bidi="ar-SA"/>
        </w:rPr>
        <w:t>对因出国、务工等原因超过6个月不参加党的组织活动的党员逐一进行谈话教育，对其明确党章相关规定，并完善相关谈话记录。从近半年参会情况看，洛场村除因年老及行动不便的党员外，已不存在无正当理由连续6个月不参加组织生活的党员。</w:t>
      </w:r>
      <w:r>
        <w:rPr>
          <w:rFonts w:hint="eastAsia" w:ascii="仿宋_GB2312" w:hAnsi="仿宋_GB2312" w:eastAsia="仿宋_GB2312" w:cs="仿宋_GB2312"/>
          <w:b/>
          <w:bCs/>
          <w:kern w:val="2"/>
          <w:sz w:val="32"/>
          <w:szCs w:val="32"/>
          <w:lang w:val="en-US" w:eastAsia="zh-CN" w:bidi="ar-SA"/>
        </w:rPr>
        <w:t>四是规范党徽党旗使用。</w:t>
      </w:r>
      <w:r>
        <w:rPr>
          <w:rFonts w:hint="eastAsia" w:ascii="仿宋_GB2312" w:hAnsi="仿宋_GB2312" w:eastAsia="仿宋_GB2312" w:cs="仿宋_GB2312"/>
          <w:kern w:val="2"/>
          <w:sz w:val="32"/>
          <w:szCs w:val="32"/>
          <w:lang w:val="en-US" w:eastAsia="zh-CN" w:bidi="ar-SA"/>
        </w:rPr>
        <w:t>已指导村将巷道的党员活动中心印有党徽的2块宣传牌匾按规定进行规范处置，并督促村严格按照《中国共产党党徽党旗条例》规定，正确使用党徽、党旗。</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xml:space="preserve">    （2）收支管理不够规范</w:t>
      </w:r>
    </w:p>
    <w:p w14:paraId="58AA87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highlight w:val="none"/>
          <w:lang w:val="en-US" w:eastAsia="zh-CN"/>
        </w:rPr>
        <w:t>一是</w:t>
      </w:r>
      <w:r>
        <w:rPr>
          <w:rFonts w:hint="eastAsia" w:ascii="仿宋_GB2312" w:hAnsi="仿宋_GB2312" w:eastAsia="仿宋_GB2312" w:cs="仿宋_GB2312"/>
          <w:kern w:val="2"/>
          <w:sz w:val="32"/>
          <w:szCs w:val="32"/>
          <w:lang w:val="en-US" w:eastAsia="zh-CN" w:bidi="ar-SA"/>
        </w:rPr>
        <w:t>严格按照穗发改〔2019〕576号《关于印发广州市规范村社公共事务经费筹集的指导意见的通知》文件指导意见要求，进一步规范筹集公共事务经费的程序、标准和方式。目前，村已停止对村内个人物业收取协调服务费或人居环境赞助款。</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kern w:val="2"/>
          <w:sz w:val="32"/>
          <w:szCs w:val="32"/>
          <w:lang w:val="en-US" w:eastAsia="zh-CN" w:bidi="ar-SA"/>
        </w:rPr>
        <w:t>进一步加强村财务管理，不断完善账目处理制度和监督机制，确保财务工作的规范、准确和透明。</w:t>
      </w:r>
      <w:r>
        <w:rPr>
          <w:rFonts w:hint="eastAsia" w:ascii="仿宋_GB2312" w:hAnsi="仿宋_GB2312" w:eastAsia="仿宋_GB2312" w:cs="仿宋_GB2312"/>
          <w:b/>
          <w:bCs/>
          <w:kern w:val="2"/>
          <w:sz w:val="32"/>
          <w:szCs w:val="32"/>
          <w:lang w:val="en-US" w:eastAsia="zh-CN" w:bidi="ar-SA"/>
        </w:rPr>
        <w:t>三是</w:t>
      </w:r>
      <w:r>
        <w:rPr>
          <w:rFonts w:hint="eastAsia" w:ascii="仿宋_GB2312" w:hAnsi="仿宋_GB2312" w:eastAsia="仿宋_GB2312" w:cs="仿宋_GB2312"/>
          <w:kern w:val="2"/>
          <w:sz w:val="32"/>
          <w:szCs w:val="32"/>
          <w:lang w:val="en-US" w:eastAsia="zh-CN" w:bidi="ar-SA"/>
        </w:rPr>
        <w:t>积极开展财务知识宣传，提高村民对财务管理的认识和参与度，共同推动村委财务工作的健康发展。</w:t>
      </w:r>
    </w:p>
    <w:p w14:paraId="58463F54">
      <w:pPr>
        <w:pStyle w:val="11"/>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（3）租金收缴不力</w:t>
      </w:r>
    </w:p>
    <w:p w14:paraId="761518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 w:hAnsi="楷体" w:eastAsia="楷体" w:cs="楷体"/>
          <w:kern w:val="2"/>
          <w:sz w:val="32"/>
          <w:szCs w:val="32"/>
          <w:lang w:val="en-US" w:eastAsia="zh-CN" w:bidi="ar-SA"/>
        </w:rPr>
      </w:pPr>
      <w:r>
        <w:rPr>
          <w:rFonts w:hint="eastAsia" w:ascii="仿宋_GB2312" w:hAnsi="仿宋_GB2312" w:eastAsia="仿宋_GB2312" w:cs="仿宋_GB2312"/>
          <w:kern w:val="2"/>
          <w:sz w:val="32"/>
          <w:szCs w:val="32"/>
          <w:lang w:val="en-US" w:eastAsia="zh-CN" w:bidi="ar-SA"/>
        </w:rPr>
        <w:t>已追回巡察期间发现的拖欠经联社、经济社租金款项。同时，进一步加强欠款管理，建立洛场村租金管理制度，防止类似问题再次发生，以更加规范、高效的财务管理，为村委的发展和村民的福祉提供坚实保障。</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xml:space="preserve">    （4）资金管理混乱</w:t>
      </w:r>
    </w:p>
    <w:p w14:paraId="1ED8E5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highlight w:val="none"/>
          <w:lang w:val="en-US" w:eastAsia="zh-CN"/>
        </w:rPr>
        <w:t>一是</w:t>
      </w:r>
      <w:r>
        <w:rPr>
          <w:rFonts w:hint="eastAsia" w:ascii="仿宋_GB2312" w:hAnsi="仿宋_GB2312" w:eastAsia="仿宋_GB2312" w:cs="仿宋_GB2312"/>
          <w:b/>
          <w:bCs/>
          <w:kern w:val="2"/>
          <w:sz w:val="32"/>
          <w:szCs w:val="32"/>
          <w:lang w:val="en-US" w:eastAsia="zh-CN" w:bidi="ar-SA"/>
        </w:rPr>
        <w:t>征地补偿款已落实专户管理。</w:t>
      </w:r>
      <w:r>
        <w:rPr>
          <w:rFonts w:hint="eastAsia" w:ascii="仿宋_GB2312" w:hAnsi="仿宋_GB2312" w:eastAsia="仿宋_GB2312" w:cs="仿宋_GB2312"/>
          <w:kern w:val="2"/>
          <w:sz w:val="32"/>
          <w:szCs w:val="32"/>
          <w:lang w:val="en-US" w:eastAsia="zh-CN" w:bidi="ar-SA"/>
        </w:rPr>
        <w:t>经核对，经联社征地款科目中包含同项目的征地工作经费和其他预付款，所以未存放在土地专户。目前，洛场村已按相关规定将征地款转入土地专户。花山镇将继续要求村委加强征地款专款专户管理，确保征地款安全、规范使用。</w:t>
      </w:r>
      <w:r>
        <w:rPr>
          <w:rFonts w:hint="eastAsia" w:ascii="仿宋_GB2312" w:hAnsi="仿宋_GB2312" w:eastAsia="仿宋_GB2312" w:cs="仿宋_GB2312"/>
          <w:b/>
          <w:bCs/>
          <w:kern w:val="2"/>
          <w:sz w:val="32"/>
          <w:szCs w:val="32"/>
          <w:lang w:val="en-US" w:eastAsia="zh-CN" w:bidi="ar-SA"/>
        </w:rPr>
        <w:t>二是专项资金正积极向上请示。</w:t>
      </w:r>
      <w:r>
        <w:rPr>
          <w:rFonts w:hint="eastAsia" w:ascii="仿宋_GB2312" w:hAnsi="仿宋_GB2312" w:eastAsia="仿宋_GB2312" w:cs="仿宋_GB2312"/>
          <w:kern w:val="2"/>
          <w:sz w:val="32"/>
          <w:szCs w:val="32"/>
          <w:lang w:val="en-US" w:eastAsia="zh-CN" w:bidi="ar-SA"/>
        </w:rPr>
        <w:t>由于专项资金一般以下拨资金的上级部门意见为准，现花山镇已指导村提交请示，申请将该资金结转作为村可支配资金用于日常开支，并积极向上级沟通反映。</w:t>
      </w:r>
    </w:p>
    <w:p w14:paraId="6451587C">
      <w:pPr>
        <w:pStyle w:val="11"/>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（5）工程管理缺位</w:t>
      </w:r>
    </w:p>
    <w:p w14:paraId="7BACAD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镇相关部门已</w:t>
      </w:r>
      <w:r>
        <w:rPr>
          <w:rFonts w:hint="eastAsia" w:ascii="仿宋_GB2312" w:hAnsi="仿宋_GB2312" w:eastAsia="仿宋_GB2312" w:cs="仿宋_GB2312"/>
          <w:sz w:val="32"/>
          <w:szCs w:val="32"/>
        </w:rPr>
        <w:t>完善相关工程管理制度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lang w:eastAsia="zh-CN"/>
        </w:rPr>
        <w:t>村（社区）</w:t>
      </w:r>
      <w:r>
        <w:rPr>
          <w:rFonts w:hint="eastAsia" w:ascii="仿宋_GB2312" w:hAnsi="仿宋_GB2312" w:eastAsia="仿宋_GB2312" w:cs="仿宋_GB2312"/>
          <w:sz w:val="32"/>
          <w:szCs w:val="32"/>
          <w:lang w:val="en-US" w:eastAsia="zh-CN"/>
        </w:rPr>
        <w:t>工程</w:t>
      </w:r>
      <w:r>
        <w:rPr>
          <w:rFonts w:hint="eastAsia" w:ascii="仿宋_GB2312" w:hAnsi="仿宋_GB2312" w:eastAsia="仿宋_GB2312" w:cs="仿宋_GB2312"/>
          <w:sz w:val="32"/>
          <w:szCs w:val="32"/>
          <w:lang w:eastAsia="zh-CN"/>
        </w:rPr>
        <w:t>管理事项</w:t>
      </w:r>
      <w:r>
        <w:rPr>
          <w:rFonts w:hint="eastAsia" w:ascii="仿宋_GB2312" w:hAnsi="仿宋_GB2312" w:eastAsia="仿宋_GB2312" w:cs="仿宋_GB2312"/>
          <w:sz w:val="32"/>
          <w:szCs w:val="32"/>
          <w:lang w:val="en-US" w:eastAsia="zh-CN"/>
        </w:rPr>
        <w:t>层层审批、严格把关</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同时，针对巡察发现的部分协议书缺少工期、订立时间问题，村已全部完善</w:t>
      </w:r>
      <w:r>
        <w:rPr>
          <w:rFonts w:hint="eastAsia" w:ascii="仿宋_GB2312" w:hAnsi="仿宋_GB2312" w:eastAsia="仿宋_GB2312" w:cs="仿宋_GB2312"/>
          <w:sz w:val="32"/>
          <w:szCs w:val="32"/>
        </w:rPr>
        <w:t>。</w:t>
      </w:r>
    </w:p>
    <w:p w14:paraId="28520CE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财务管理弱项突出，</w:t>
      </w:r>
      <w:r>
        <w:rPr>
          <w:rFonts w:hint="eastAsia" w:ascii="仿宋_GB2312" w:hAnsi="仿宋_GB2312" w:eastAsia="仿宋_GB2312" w:cs="仿宋_GB2312"/>
          <w:kern w:val="2"/>
          <w:sz w:val="32"/>
          <w:szCs w:val="32"/>
          <w:lang w:val="en-US" w:eastAsia="zh-CN" w:bidi="ar-SA"/>
        </w:rPr>
        <w:t>公章管理随意</w:t>
      </w:r>
    </w:p>
    <w:p w14:paraId="11FE8BBE">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宋体" w:cs="Times New Roman"/>
          <w:kern w:val="2"/>
          <w:sz w:val="32"/>
          <w:szCs w:val="32"/>
          <w:lang w:val="en-US" w:eastAsia="zh-CN" w:bidi="ar-SA"/>
        </w:rPr>
      </w:pPr>
      <w:r>
        <w:rPr>
          <w:rFonts w:hint="eastAsia" w:ascii="仿宋_GB2312" w:hAnsi="仿宋_GB2312" w:eastAsia="仿宋_GB2312" w:cs="仿宋_GB2312"/>
          <w:kern w:val="2"/>
          <w:sz w:val="32"/>
          <w:szCs w:val="32"/>
          <w:lang w:val="en-US" w:eastAsia="zh-CN" w:bidi="ar-SA"/>
        </w:rPr>
        <w:t>洛场村经济社公章现已落实“双柜双锁”保管要求，各经济社小柜钥匙已交回各经济社社长保管，印章使用登记表已补充完整。村委将加强公章管理，不断完善制度和流程，确保公章使用的安全、规范、高效。同时，将积极接受村民的监督，不断提高服务质量。</w:t>
      </w:r>
    </w:p>
    <w:p w14:paraId="158826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3.基层党组织和后备干部队伍建设不够扎实</w:t>
      </w:r>
    </w:p>
    <w:p w14:paraId="27CE456D">
      <w:pPr>
        <w:pStyle w:val="11"/>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（1）党组织议事决策制度执行不严</w:t>
      </w:r>
    </w:p>
    <w:p w14:paraId="5C94A3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一方面，完善议事要素。</w:t>
      </w:r>
      <w:r>
        <w:rPr>
          <w:rFonts w:hint="eastAsia" w:ascii="仿宋_GB2312" w:hAnsi="仿宋_GB2312" w:eastAsia="仿宋_GB2312" w:cs="仿宋_GB2312"/>
          <w:kern w:val="2"/>
          <w:sz w:val="32"/>
          <w:szCs w:val="32"/>
          <w:lang w:val="en-US" w:eastAsia="zh-CN" w:bidi="ar-SA"/>
        </w:rPr>
        <w:t>已</w:t>
      </w:r>
      <w:r>
        <w:rPr>
          <w:rFonts w:hint="eastAsia" w:ascii="仿宋_GB2312" w:hAnsi="仿宋_GB2312" w:eastAsia="仿宋_GB2312" w:cs="仿宋_GB2312"/>
          <w:sz w:val="32"/>
          <w:szCs w:val="32"/>
        </w:rPr>
        <w:t>指导洛场村党组织进一步完善议事决策制度，明确民主决策议事的规则和程序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经整改，洛场村党组织已重新修订完善了议事决策制度，明确了民主决策议事的流程和要求。在近期召开的党组织会议中，议事要素基本齐全，讨论过程更加充分，民主集中制得到较好贯彻。</w:t>
      </w:r>
      <w:r>
        <w:rPr>
          <w:rFonts w:hint="eastAsia" w:ascii="仿宋_GB2312" w:hAnsi="仿宋_GB2312" w:eastAsia="仿宋_GB2312" w:cs="仿宋_GB2312"/>
          <w:sz w:val="32"/>
          <w:szCs w:val="32"/>
          <w:highlight w:val="none"/>
          <w:lang w:val="en-US" w:eastAsia="zh-CN"/>
        </w:rPr>
        <w:t>花山镇计划6月再组织开展党务专业知识培训活动，提高基层党务工作者的专业知识水平和业务能力，加强对党组织规范化建设重要性的认识，为推进基层党组织建设奠定坚实基础。</w:t>
      </w:r>
      <w:r>
        <w:rPr>
          <w:rFonts w:hint="eastAsia" w:ascii="仿宋_GB2312" w:hAnsi="仿宋_GB2312" w:eastAsia="仿宋_GB2312" w:cs="仿宋_GB2312"/>
          <w:b/>
          <w:bCs/>
          <w:sz w:val="32"/>
          <w:szCs w:val="32"/>
          <w:highlight w:val="none"/>
          <w:lang w:val="en-US" w:eastAsia="zh-CN"/>
        </w:rPr>
        <w:t>另一方面，</w:t>
      </w:r>
      <w:r>
        <w:rPr>
          <w:rFonts w:hint="eastAsia" w:ascii="仿宋_GB2312" w:hAnsi="仿宋_GB2312" w:eastAsia="仿宋_GB2312" w:cs="仿宋_GB2312"/>
          <w:b/>
          <w:bCs/>
          <w:kern w:val="2"/>
          <w:sz w:val="32"/>
          <w:szCs w:val="32"/>
          <w:lang w:val="en-US" w:eastAsia="zh-CN" w:bidi="ar-SA"/>
        </w:rPr>
        <w:t>规范议事流程。</w:t>
      </w:r>
      <w:r>
        <w:rPr>
          <w:rFonts w:hint="eastAsia" w:ascii="仿宋_GB2312" w:hAnsi="仿宋_GB2312" w:eastAsia="仿宋_GB2312" w:cs="仿宋_GB2312"/>
          <w:kern w:val="2"/>
          <w:sz w:val="32"/>
          <w:szCs w:val="32"/>
          <w:lang w:val="en-US" w:eastAsia="zh-CN" w:bidi="ar-SA"/>
        </w:rPr>
        <w:t>已全面梳理党组织会议记录本，杜绝先执行后表决的错误做法。花山镇</w:t>
      </w:r>
      <w:r>
        <w:rPr>
          <w:rFonts w:hint="eastAsia" w:ascii="仿宋_GB2312" w:hAnsi="仿宋_GB2312" w:eastAsia="仿宋_GB2312" w:cs="仿宋_GB2312"/>
          <w:sz w:val="32"/>
          <w:szCs w:val="32"/>
          <w:lang w:val="en-US" w:eastAsia="zh-CN"/>
        </w:rPr>
        <w:t>党建和组织人事办公室在近期的检查中，未再发现会议记录不规范的问题，也</w:t>
      </w:r>
      <w:r>
        <w:rPr>
          <w:rFonts w:hint="eastAsia" w:ascii="仿宋_GB2312" w:hAnsi="仿宋_GB2312" w:eastAsia="仿宋_GB2312" w:cs="仿宋_GB2312"/>
          <w:kern w:val="2"/>
          <w:sz w:val="32"/>
          <w:szCs w:val="32"/>
          <w:lang w:val="en-US" w:eastAsia="zh-CN" w:bidi="ar-SA"/>
        </w:rPr>
        <w:t>未再发现重大事项决策滞后问题。</w:t>
      </w:r>
    </w:p>
    <w:p w14:paraId="6AF20F2A">
      <w:pPr>
        <w:pStyle w:val="11"/>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（2）对下级党组织的规范化建设指导不力</w:t>
      </w:r>
    </w:p>
    <w:p w14:paraId="68AFB3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b/>
          <w:bCs/>
          <w:kern w:val="2"/>
          <w:sz w:val="32"/>
          <w:szCs w:val="32"/>
          <w:lang w:val="en-US" w:eastAsia="zh-CN" w:bidi="ar-SA"/>
        </w:rPr>
        <w:t>加强思想教育。</w:t>
      </w:r>
      <w:r>
        <w:rPr>
          <w:rFonts w:hint="eastAsia" w:ascii="仿宋_GB2312" w:hAnsi="仿宋_GB2312" w:eastAsia="仿宋_GB2312" w:cs="仿宋_GB2312"/>
          <w:kern w:val="2"/>
          <w:sz w:val="32"/>
          <w:szCs w:val="32"/>
          <w:lang w:val="en-US" w:eastAsia="zh-CN" w:bidi="ar-SA"/>
        </w:rPr>
        <w:t>组织党员学习《中国共产党章程》《中国共产党纪律处分条例》《中国共产党支部工作条例（试行）》等相关条例，深化党员对党章的认识，强化党员意识、党性观念和纪律观念。</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b/>
          <w:bCs/>
          <w:kern w:val="2"/>
          <w:sz w:val="32"/>
          <w:szCs w:val="32"/>
          <w:lang w:val="en-US" w:eastAsia="zh-CN" w:bidi="ar-SA"/>
        </w:rPr>
        <w:t>落实责任制度。</w:t>
      </w:r>
      <w:r>
        <w:rPr>
          <w:rFonts w:hint="eastAsia" w:ascii="仿宋_GB2312" w:hAnsi="仿宋_GB2312" w:eastAsia="仿宋_GB2312" w:cs="仿宋_GB2312"/>
          <w:kern w:val="2"/>
          <w:sz w:val="32"/>
          <w:szCs w:val="32"/>
          <w:lang w:val="en-US" w:eastAsia="zh-CN" w:bidi="ar-SA"/>
        </w:rPr>
        <w:t>以“三会一课”为抓手，严格落实支部委员会、党员大会、党小组会议、党课制度，强化党员的主体意识，增强党员参加组织生活积极性，落实党员记录学习笔记，规范“三会一课”会议记录，全面提升“三会一课”质量。截止2024年12月底，洛场村共组织党支部集体学习18次。</w:t>
      </w:r>
      <w:r>
        <w:rPr>
          <w:rFonts w:hint="eastAsia" w:ascii="仿宋_GB2312" w:hAnsi="仿宋_GB2312" w:eastAsia="仿宋_GB2312" w:cs="仿宋_GB2312"/>
          <w:b/>
          <w:bCs/>
          <w:kern w:val="2"/>
          <w:sz w:val="32"/>
          <w:szCs w:val="32"/>
          <w:lang w:val="en-US" w:eastAsia="zh-CN" w:bidi="ar-SA"/>
        </w:rPr>
        <w:t>三是积极开展活动</w:t>
      </w:r>
      <w:r>
        <w:rPr>
          <w:rFonts w:hint="eastAsia" w:ascii="仿宋_GB2312" w:hAnsi="仿宋_GB2312" w:eastAsia="仿宋_GB2312" w:cs="仿宋_GB2312"/>
          <w:b/>
          <w:bCs/>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 xml:space="preserve">要求各经济社党支部每月开展一次主题党日活动,结合党员思想和工作实际,组织党员集中学习、过组织生活、进行民主议事和开展志愿服务等。现时洛场村下设15个经济社，但只有9个党支部，因有6个社是合并的，不能全部实现一肩挑，日后将积极发展了解经济社情况且适合当社长的村民成为党员，逐步提高经济社社长支部书记一肩挑的比例。        </w:t>
      </w:r>
    </w:p>
    <w:p w14:paraId="049F12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（3）基础工作不够扎实，</w:t>
      </w:r>
      <w:r>
        <w:rPr>
          <w:rFonts w:hint="eastAsia" w:ascii="仿宋_GB2312" w:hAnsi="仿宋_GB2312" w:eastAsia="仿宋_GB2312" w:cs="仿宋_GB2312"/>
          <w:kern w:val="2"/>
          <w:sz w:val="32"/>
          <w:szCs w:val="32"/>
          <w:lang w:val="en-US" w:eastAsia="zh-CN" w:bidi="ar-SA"/>
        </w:rPr>
        <w:t>发展党员把关不严。</w:t>
      </w:r>
      <w:r>
        <w:rPr>
          <w:rFonts w:hint="eastAsia" w:ascii="仿宋_GB2312" w:hAnsi="仿宋_GB2312" w:eastAsia="仿宋_GB2312" w:cs="仿宋_GB2312"/>
          <w:b/>
          <w:bCs/>
          <w:kern w:val="2"/>
          <w:sz w:val="32"/>
          <w:szCs w:val="32"/>
          <w:lang w:val="en-US" w:eastAsia="zh-CN" w:bidi="ar-SA"/>
        </w:rPr>
        <w:t>一是规范工作程序。</w:t>
      </w:r>
      <w:r>
        <w:rPr>
          <w:rFonts w:hint="eastAsia" w:ascii="仿宋_GB2312" w:hAnsi="仿宋_GB2312" w:eastAsia="仿宋_GB2312" w:cs="仿宋_GB2312"/>
          <w:kern w:val="2"/>
          <w:sz w:val="32"/>
          <w:szCs w:val="32"/>
          <w:lang w:val="en-US" w:eastAsia="zh-CN" w:bidi="ar-SA"/>
        </w:rPr>
        <w:t>已指导村严格按照《中国共产党章程》和《中国共产党发展党员工作细则》规定，规范发展党员程序，明确工作流程，把好入口关，下发《花都区发展党员工作操作指引》，</w:t>
      </w:r>
      <w:r>
        <w:rPr>
          <w:rFonts w:hint="eastAsia" w:ascii="仿宋_GB2312" w:hAnsi="仿宋_GB2312" w:eastAsia="仿宋_GB2312" w:cs="仿宋_GB2312"/>
          <w:spacing w:val="-6"/>
          <w:kern w:val="2"/>
          <w:sz w:val="32"/>
          <w:szCs w:val="32"/>
          <w:lang w:val="en-US" w:eastAsia="zh-CN" w:bidi="ar-SA"/>
        </w:rPr>
        <w:t>发展流程相关附件等，细化发展流程，确保发展党员工作的严肃</w:t>
      </w:r>
      <w:r>
        <w:rPr>
          <w:rFonts w:hint="eastAsia" w:ascii="仿宋_GB2312" w:hAnsi="仿宋_GB2312" w:eastAsia="仿宋_GB2312" w:cs="仿宋_GB2312"/>
          <w:kern w:val="2"/>
          <w:sz w:val="32"/>
          <w:szCs w:val="32"/>
          <w:lang w:val="en-US" w:eastAsia="zh-CN" w:bidi="ar-SA"/>
        </w:rPr>
        <w:t>性。</w:t>
      </w:r>
      <w:r>
        <w:rPr>
          <w:rFonts w:hint="eastAsia" w:ascii="仿宋_GB2312" w:hAnsi="仿宋_GB2312" w:eastAsia="仿宋_GB2312" w:cs="仿宋_GB2312"/>
          <w:b/>
          <w:bCs/>
          <w:kern w:val="2"/>
          <w:sz w:val="32"/>
          <w:szCs w:val="32"/>
          <w:lang w:val="en-US" w:eastAsia="zh-CN" w:bidi="ar-SA"/>
        </w:rPr>
        <w:t>二是强化监督检查。</w:t>
      </w:r>
      <w:r>
        <w:rPr>
          <w:rFonts w:hint="eastAsia" w:ascii="仿宋_GB2312" w:hAnsi="仿宋_GB2312" w:eastAsia="仿宋_GB2312" w:cs="仿宋_GB2312"/>
          <w:kern w:val="2"/>
          <w:sz w:val="32"/>
          <w:szCs w:val="32"/>
          <w:lang w:val="en-US" w:eastAsia="zh-CN" w:bidi="ar-SA"/>
        </w:rPr>
        <w:t>建立健全发展党员工作监督检查机制，通过定期检查、随机抽查、专项检查等方式，对各基层党组织发展党员工作进行督促检查，及时发现问题并督促整改。接巡察反馈意见后，及时督促洛场村党总支部根据巡察反馈问题，形成书面说明材料附在相关档案里，让整改工作形成闭环。</w:t>
      </w:r>
    </w:p>
    <w:p w14:paraId="19021A76">
      <w:pPr>
        <w:pStyle w:val="11"/>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（4）后备干部队伍建设有欠缺</w:t>
      </w:r>
    </w:p>
    <w:p w14:paraId="6EC50B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一方面，强化在岗后备干部培训锻炼。</w:t>
      </w:r>
      <w:r>
        <w:rPr>
          <w:rFonts w:hint="eastAsia" w:ascii="仿宋_GB2312" w:hAnsi="仿宋_GB2312" w:eastAsia="仿宋_GB2312" w:cs="仿宋_GB2312"/>
          <w:kern w:val="2"/>
          <w:sz w:val="32"/>
          <w:szCs w:val="32"/>
          <w:lang w:val="en-US" w:eastAsia="zh-CN" w:bidi="ar-SA"/>
        </w:rPr>
        <w:t>将农村后备干部培训纳入基层干部培训体系，结合主题教育，注重对农村后备干部进行思想政治教育和基层业务能力培训。2024年12月组织全镇农村后备干部赴珠海开展“百千万工程”专题培训，学习先进经验，拓宽视野。优先选送农村后备干部参加“羊城村官上大学”学历教育，提高其文化层次和综合素质。镇党委积极为农村后备干部搭建实践锻炼平台，通过到镇机关跟班学习，列席村“两委”班子会议，参与村“两委”分工，参与本村征地拆迁、控违拆违、综治维稳以及重大经济和民生项目等方式，让农村后备干部在实际工作中得到锻炼、提升能力。</w:t>
      </w:r>
      <w:r>
        <w:rPr>
          <w:rFonts w:hint="eastAsia" w:ascii="仿宋_GB2312" w:hAnsi="仿宋_GB2312" w:eastAsia="仿宋_GB2312" w:cs="仿宋_GB2312"/>
          <w:b/>
          <w:bCs/>
          <w:kern w:val="2"/>
          <w:sz w:val="32"/>
          <w:szCs w:val="32"/>
          <w:lang w:val="en-US" w:eastAsia="zh-CN" w:bidi="ar-SA"/>
        </w:rPr>
        <w:t>另一方面，落实在岗后备干部考核评价。</w:t>
      </w:r>
      <w:r>
        <w:rPr>
          <w:rFonts w:hint="eastAsia" w:ascii="仿宋_GB2312" w:hAnsi="仿宋_GB2312" w:eastAsia="仿宋_GB2312" w:cs="仿宋_GB2312"/>
          <w:kern w:val="2"/>
          <w:sz w:val="32"/>
          <w:szCs w:val="32"/>
          <w:lang w:val="en-US" w:eastAsia="zh-CN" w:bidi="ar-SA"/>
        </w:rPr>
        <w:t>抓实平时考核和年度考核，后备干部每半年向村党组织报告一次工作，村党组织每半年对后备干部进行1次民主评议，全面考核德、能、勤、绩、廉，重点考核工作实绩，评议和考核情况存入个人档案。同时，强化考核结果运用，对工作表现不好、发展潜力不大、群众认可度不高、年度考核“不称职”的农村后备干部及时作出调整。</w:t>
      </w:r>
    </w:p>
    <w:p w14:paraId="1E0AAF36">
      <w:pPr>
        <w:keepNext w:val="0"/>
        <w:keepLines w:val="0"/>
        <w:pageBreakBefore w:val="0"/>
        <w:widowControl w:val="0"/>
        <w:kinsoku/>
        <w:wordWrap/>
        <w:overflowPunct/>
        <w:topLinePunct w:val="0"/>
        <w:bidi w:val="0"/>
        <w:snapToGrid/>
        <w:spacing w:line="560" w:lineRule="exact"/>
        <w:ind w:firstLine="640" w:firstLineChars="200"/>
        <w:jc w:val="both"/>
        <w:textAlignment w:val="auto"/>
        <w:outlineLvl w:val="1"/>
        <w:rPr>
          <w:rFonts w:hint="eastAsia" w:ascii="黑体" w:hAnsi="黑体" w:eastAsia="黑体" w:cs="黑体"/>
          <w:bCs/>
          <w:sz w:val="32"/>
          <w:szCs w:val="32"/>
        </w:rPr>
      </w:pPr>
      <w:bookmarkStart w:id="4" w:name="_Toc20688"/>
      <w:r>
        <w:rPr>
          <w:rFonts w:hint="eastAsia" w:ascii="黑体" w:hAnsi="黑体" w:eastAsia="黑体" w:cs="黑体"/>
          <w:bCs/>
          <w:sz w:val="32"/>
          <w:szCs w:val="32"/>
        </w:rPr>
        <w:t>三、加强政治引领，巩固深化巡察整改成效</w:t>
      </w:r>
      <w:bookmarkEnd w:id="4"/>
    </w:p>
    <w:p w14:paraId="7EF2C15B">
      <w:pPr>
        <w:keepNext w:val="0"/>
        <w:keepLines w:val="0"/>
        <w:pageBreakBefore w:val="0"/>
        <w:widowControl w:val="0"/>
        <w:kinsoku/>
        <w:wordWrap/>
        <w:overflowPunct/>
        <w:topLinePunct w:val="0"/>
        <w:bidi w:val="0"/>
        <w:snapToGrid/>
        <w:spacing w:line="560" w:lineRule="exact"/>
        <w:ind w:firstLine="624"/>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sz w:val="32"/>
          <w:szCs w:val="32"/>
        </w:rPr>
        <w:t>经过集中整改，</w:t>
      </w:r>
      <w:r>
        <w:rPr>
          <w:rFonts w:hint="eastAsia" w:ascii="仿宋_GB2312" w:hAnsi="仿宋_GB2312" w:eastAsia="仿宋_GB2312" w:cs="仿宋_GB2312"/>
          <w:sz w:val="32"/>
          <w:szCs w:val="32"/>
          <w:lang w:val="en-US" w:eastAsia="zh-CN"/>
        </w:rPr>
        <w:t>花山镇的巡察整改落实工作已取得阶段性成效，但仍需持续用力、久久为功。下一步，花山镇将持之以恒抓好后续工作，不断深化和巩固拓展整改成果，为建设“空港经济强镇”提供坚强的政治保障。</w:t>
      </w:r>
    </w:p>
    <w:p w14:paraId="01F94714">
      <w:pPr>
        <w:keepNext w:val="0"/>
        <w:keepLines w:val="0"/>
        <w:pageBreakBefore w:val="0"/>
        <w:widowControl/>
        <w:suppressLineNumbers w:val="0"/>
        <w:kinsoku/>
        <w:wordWrap/>
        <w:overflowPunct/>
        <w:topLinePunct w:val="0"/>
        <w:bidi w:val="0"/>
        <w:snapToGrid/>
        <w:spacing w:line="560" w:lineRule="exact"/>
        <w:ind w:firstLine="640" w:firstLineChars="200"/>
        <w:jc w:val="both"/>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（一）坚守政治定位，不断筑牢巡察整改根基</w:t>
      </w:r>
    </w:p>
    <w:p w14:paraId="34E990C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把整改工作作为党委的重要政治任务扛在肩上，发挥全镇党员干部积极性，聚焦整改目标，科学分配任务，层层抓好落实，强化整改成效。对已完成整改的，严把“及格底线”、严防“过关心态”，定期检查整改成效，预防问题反弹；对整改中的问题，强化日常督办，抓紧、抓严、抓实整改，推动巡察反馈问题清仓见底。</w:t>
      </w:r>
    </w:p>
    <w:p w14:paraId="027E53CE">
      <w:pPr>
        <w:keepNext w:val="0"/>
        <w:keepLines w:val="0"/>
        <w:pageBreakBefore w:val="0"/>
        <w:widowControl/>
        <w:suppressLineNumbers w:val="0"/>
        <w:kinsoku/>
        <w:wordWrap/>
        <w:overflowPunct/>
        <w:topLinePunct w:val="0"/>
        <w:bidi w:val="0"/>
        <w:snapToGrid/>
        <w:spacing w:line="560" w:lineRule="exact"/>
        <w:ind w:firstLine="640" w:firstLineChars="200"/>
        <w:jc w:val="both"/>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（二）深化拓展总结，有效释放巡察整改效应</w:t>
      </w:r>
    </w:p>
    <w:p w14:paraId="2DCC5451">
      <w:pPr>
        <w:keepNext w:val="0"/>
        <w:keepLines w:val="0"/>
        <w:pageBreakBefore w:val="0"/>
        <w:widowControl/>
        <w:numPr>
          <w:ilvl w:val="0"/>
          <w:numId w:val="0"/>
        </w:numPr>
        <w:suppressLineNumbers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以刀刃向内的勇气和抓铁有痕的决心，将“一把手”负总责、班子成员抓具体的责任体系贯彻落实到底，把巡察发现的问题和整改落实情况作为班子建设、管理监督的重要参考，切实提升巡察成果的刚性约束。做好整改岗位与责任的有效衔接，巡察整改和成果运用不因人事变动就让责任落空、工作停摆。深化巡察整改总结，对共性问题由点及面、举一反三，既立行立改每一个问题，又触类旁通同一类现象，做到由“点的整改”到“面的提升”，实现整改一个、触及一类。</w:t>
      </w:r>
    </w:p>
    <w:p w14:paraId="7F90A1CE">
      <w:pPr>
        <w:keepNext w:val="0"/>
        <w:keepLines w:val="0"/>
        <w:pageBreakBefore w:val="0"/>
        <w:widowControl/>
        <w:suppressLineNumbers w:val="0"/>
        <w:kinsoku/>
        <w:wordWrap/>
        <w:overflowPunct/>
        <w:topLinePunct w:val="0"/>
        <w:bidi w:val="0"/>
        <w:snapToGrid/>
        <w:spacing w:line="560" w:lineRule="exact"/>
        <w:ind w:firstLine="640" w:firstLineChars="200"/>
        <w:jc w:val="both"/>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（三）坚持固本培元，持续彰显巡察利剑作用</w:t>
      </w:r>
    </w:p>
    <w:p w14:paraId="075AE147">
      <w:pPr>
        <w:keepNext w:val="0"/>
        <w:keepLines w:val="0"/>
        <w:pageBreakBefore w:val="0"/>
        <w:widowControl/>
        <w:numPr>
          <w:ilvl w:val="0"/>
          <w:numId w:val="0"/>
        </w:numPr>
        <w:suppressLineNumbers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围绕本轮巡察反馈的重点难点问题、历史遗留问题，仔细研究解决办法，制定解决方案，形成长效机制，不断巩固深化整改成效。监督好反馈意见的整改落实，以反馈意见整改为契机，把主体责任扛在肩上，</w:t>
      </w:r>
      <w:r>
        <w:rPr>
          <w:rFonts w:hint="eastAsia" w:ascii="仿宋_GB2312" w:hAnsi="仿宋_GB2312" w:eastAsia="仿宋_GB2312" w:cs="仿宋_GB2312"/>
          <w:kern w:val="2"/>
          <w:sz w:val="32"/>
          <w:szCs w:val="32"/>
          <w:lang w:val="en-US" w:eastAsia="zh-CN" w:bidi="ar-SA"/>
        </w:rPr>
        <w:t>压紧压实相关职能部门日常监督责任，实现同向发力、同题共答，推动形成部门有序衔接、互为补充、协调一致的监督链条，使区委巡察反馈意见整改落实的过程成为花山镇抓改革、促发展、保稳定、惠民生的过程，以实际发展成果检验巡察整改成效。</w:t>
      </w:r>
    </w:p>
    <w:p w14:paraId="11B9A2C4">
      <w:pPr>
        <w:keepNext w:val="0"/>
        <w:keepLines w:val="0"/>
        <w:pageBreakBefore w:val="0"/>
        <w:widowControl/>
        <w:numPr>
          <w:ilvl w:val="0"/>
          <w:numId w:val="0"/>
        </w:numPr>
        <w:suppressLineNumbers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欢迎广大干部职工对整改情况进行监督。如有意见建议，请向花都区纪委监委第二派驻纪检监察组反映，联系方式：36968404；联系地址：花都区迎宾大道95号交通大楼附楼205室。</w:t>
      </w:r>
    </w:p>
    <w:p w14:paraId="2251FADE">
      <w:pPr>
        <w:keepNext w:val="0"/>
        <w:keepLines w:val="0"/>
        <w:pageBreakBefore w:val="0"/>
        <w:widowControl/>
        <w:numPr>
          <w:ilvl w:val="0"/>
          <w:numId w:val="0"/>
        </w:numPr>
        <w:suppressLineNumbers w:val="0"/>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p>
    <w:p w14:paraId="5E132D2F">
      <w:pPr>
        <w:pStyle w:val="2"/>
        <w:rPr>
          <w:rFonts w:hint="eastAsia"/>
          <w:lang w:val="en-US" w:eastAsia="zh-CN"/>
        </w:rPr>
      </w:pPr>
    </w:p>
    <w:p w14:paraId="0910D62C">
      <w:pPr>
        <w:keepNext w:val="0"/>
        <w:keepLines w:val="0"/>
        <w:pageBreakBefore w:val="0"/>
        <w:widowControl/>
        <w:numPr>
          <w:ilvl w:val="0"/>
          <w:numId w:val="0"/>
        </w:numPr>
        <w:suppressLineNumbers w:val="0"/>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p>
    <w:p w14:paraId="172E444A">
      <w:pPr>
        <w:keepNext w:val="0"/>
        <w:keepLines w:val="0"/>
        <w:pageBreakBefore w:val="0"/>
        <w:widowControl/>
        <w:numPr>
          <w:ilvl w:val="0"/>
          <w:numId w:val="0"/>
        </w:numPr>
        <w:suppressLineNumbers w:val="0"/>
        <w:kinsoku/>
        <w:wordWrap/>
        <w:overflowPunct/>
        <w:topLinePunct w:val="0"/>
        <w:bidi w:val="0"/>
        <w:snapToGrid/>
        <w:spacing w:line="560" w:lineRule="exact"/>
        <w:ind w:firstLine="3520" w:firstLineChars="11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中共广州市花都区花山镇委员会</w:t>
      </w:r>
    </w:p>
    <w:p w14:paraId="67E4B839">
      <w:pPr>
        <w:keepNext w:val="0"/>
        <w:keepLines w:val="0"/>
        <w:pageBreakBefore w:val="0"/>
        <w:widowControl/>
        <w:numPr>
          <w:ilvl w:val="0"/>
          <w:numId w:val="0"/>
        </w:numPr>
        <w:suppressLineNumbers w:val="0"/>
        <w:kinsoku/>
        <w:wordWrap/>
        <w:overflowPunct/>
        <w:topLinePunct w:val="0"/>
        <w:bidi w:val="0"/>
        <w:snapToGrid/>
        <w:spacing w:line="560" w:lineRule="exact"/>
        <w:ind w:firstLine="4480" w:firstLineChars="14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2025年6月19日</w:t>
      </w:r>
    </w:p>
    <w:p w14:paraId="1A337619">
      <w:pPr>
        <w:rPr>
          <w:lang w:val="en-US" w:eastAsia="zh-CN"/>
        </w:rPr>
      </w:pPr>
      <w:bookmarkStart w:id="5" w:name="_GoBack"/>
      <w:bookmarkEnd w:id="5"/>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232C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88B7A90">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0pt;height:144pt;width:144pt;mso-position-horizontal:outside;mso-position-horizontal-relative:margin;mso-wrap-style:none;z-index:251659264;mso-width-relative:page;mso-height-relative:page;" filled="f" stroked="f" coordsize="21600,21600" o:gfxdata="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CPShy0wAAAAgBAAAPAAAAAAAAAAEAIAAAACIAAABkcnMvZG93bnJldi54&#10;bWxQSwECFAAUAAAACACHTuJAmMenDDgCAABvBAAADgAAAAAAAAABACAAAAAiAQAAZHJzL2Uyb0Rv&#10;Yy54bWxQSwUGAAAAAAYABgBZAQAAzAUAAAAA&#10;">
              <v:fill on="f" focussize="0,0"/>
              <v:stroke on="f" weight="0.5pt"/>
              <v:imagedata o:title=""/>
              <o:lock v:ext="edit" aspectratio="f"/>
              <v:textbox inset="0mm,0mm,0mm,0mm" style="mso-fit-shape-to-text:t;">
                <w:txbxContent>
                  <w:p w14:paraId="788B7A90">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4911BB"/>
    <w:multiLevelType w:val="singleLevel"/>
    <w:tmpl w:val="884911BB"/>
    <w:lvl w:ilvl="0" w:tentative="0">
      <w:start w:val="1"/>
      <w:numFmt w:val="decimal"/>
      <w:suff w:val="nothing"/>
      <w:lvlText w:val="（%1）"/>
      <w:lvlJc w:val="left"/>
    </w:lvl>
  </w:abstractNum>
  <w:abstractNum w:abstractNumId="1">
    <w:nsid w:val="AE3423AD"/>
    <w:multiLevelType w:val="singleLevel"/>
    <w:tmpl w:val="AE3423AD"/>
    <w:lvl w:ilvl="0" w:tentative="0">
      <w:start w:val="6"/>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C03A38"/>
    <w:rsid w:val="0C1B5359"/>
    <w:rsid w:val="1EEA172F"/>
    <w:rsid w:val="244054B7"/>
    <w:rsid w:val="31645CD8"/>
    <w:rsid w:val="334D1544"/>
    <w:rsid w:val="3A3B1558"/>
    <w:rsid w:val="50F775A1"/>
    <w:rsid w:val="55C03A38"/>
    <w:rsid w:val="55C15DEF"/>
    <w:rsid w:val="57743C10"/>
    <w:rsid w:val="59606ACA"/>
    <w:rsid w:val="74187E2A"/>
    <w:rsid w:val="78740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index 5"/>
    <w:basedOn w:val="1"/>
    <w:next w:val="1"/>
    <w:qFormat/>
    <w:uiPriority w:val="0"/>
    <w:pPr>
      <w:ind w:left="1680"/>
    </w:pPr>
  </w:style>
  <w:style w:type="paragraph" w:styleId="4">
    <w:name w:val="Body Text"/>
    <w:basedOn w:val="1"/>
    <w:next w:val="5"/>
    <w:unhideWhenUsed/>
    <w:qFormat/>
    <w:uiPriority w:val="99"/>
    <w:pPr>
      <w:spacing w:after="120"/>
    </w:pPr>
    <w:rPr>
      <w:rFonts w:ascii="Calibri" w:hAnsi="Calibri" w:eastAsia="宋体"/>
    </w:rPr>
  </w:style>
  <w:style w:type="paragraph" w:styleId="5">
    <w:name w:val="Body Text Indent"/>
    <w:basedOn w:val="1"/>
    <w:next w:val="3"/>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Strong"/>
    <w:basedOn w:val="9"/>
    <w:qFormat/>
    <w:uiPriority w:val="0"/>
    <w:rPr>
      <w:b/>
    </w:rPr>
  </w:style>
  <w:style w:type="paragraph" w:customStyle="1" w:styleId="11">
    <w:name w:val="_Style 5"/>
    <w:basedOn w:val="1"/>
    <w:qFormat/>
    <w:uiPriority w:val="0"/>
    <w:pPr>
      <w:ind w:firstLine="200" w:firstLineChars="200"/>
    </w:pPr>
    <w:rPr>
      <w:rFonts w:ascii="Times New Roman" w:hAnsi="Times New Roman"/>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14043</Words>
  <Characters>14412</Characters>
  <Lines>0</Lines>
  <Paragraphs>0</Paragraphs>
  <TotalTime>95</TotalTime>
  <ScaleCrop>false</ScaleCrop>
  <LinksUpToDate>false</LinksUpToDate>
  <CharactersWithSpaces>14573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2025-06-13T07:04:00Z</dcterms:created>
  <dc:creator>林泳彤</dc:creator>
  <cp:lastModifiedBy>林泳彤</cp:lastModifiedBy>
  <cp:lastPrinted>2025-06-20T08:52:37Z</cp:lastPrinted>
  <dcterms:modified xsi:type="dcterms:W3CDTF">2025-06-20T09:33:17Z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98320CACC9D3455D937D92A89E1A4F9A_13</vt:lpwstr>
  </property>
  <property fmtid="{D5CDD505-2E9C-101B-9397-08002B2CF9AE}" pid="4" name="KSOTemplateDocerSaveRecord">
    <vt:lpwstr>eyJoZGlkIjoiMGNmNGQ5MGI1MWRhYzYyNGFkMTZmZjQ0NTRhNTYyNmIiLCJ1c2VySWQiOiIxNTY4NjkyNDY3In0=</vt:lpwstr>
  </property>
</Properties>
</file>